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6" w:space="4" w:color="D4B47D"/>
        </w:pBdr>
      </w:pPr>
      <w:r>
        <w:rPr>
          <w:b w:val="0"/>
          <w:color w:val="5C4E3C"/>
          <w:sz w:val="15"/>
          <w:spacing w:val="30"/>
        </w:rPr>
        <w:t xml:space="preserve">SENIOR PROGRAM &amp; AI GOVERNANCE LEADER    </w:t>
      </w:r>
      <w:r>
        <w:rPr>
          <w:b w:val="0"/>
          <w:color w:val="1C1915"/>
          <w:sz w:val="15"/>
          <w:spacing w:val="30"/>
        </w:rPr>
        <w:t>JEROME DAVIS</w:t>
      </w:r>
      <w:r>
        <w:rPr>
          <w:b w:val="0"/>
          <w:color w:val="5C4E3C"/>
          <w:sz w:val="15"/>
          <w:spacing w:val="30"/>
        </w:rPr>
        <w:t xml:space="preserve">    SECONDORDERSTRATEGY.COM</w:t>
      </w:r>
    </w:p>
    <w:p>
      <w:pPr>
        <w:spacing w:before="600"/>
      </w:pPr>
      <w:r>
        <w:rPr>
          <w:b w:val="0"/>
          <w:color w:val="573B1D"/>
          <w:sz w:val="15"/>
          <w:spacing w:val="30"/>
        </w:rPr>
        <w:t xml:space="preserve">01 · </w:t>
      </w:r>
      <w:r>
        <w:rPr>
          <w:b w:val="0"/>
          <w:color w:val="5C4E3C"/>
          <w:sz w:val="15"/>
          <w:spacing w:val="30"/>
        </w:rPr>
        <w:t>TEMPLATE · VERSION 1.0 · OCTOBER 2026</w:t>
      </w:r>
    </w:p>
    <w:p>
      <w:pPr>
        <w:pStyle w:val="Title"/>
        <w:spacing w:after="80"/>
      </w:pPr>
      <w:r>
        <w:t>Agent Access Standard</w:t>
      </w:r>
    </w:p>
    <w:p>
      <w:r>
        <w:rPr>
          <w:b w:val="0"/>
          <w:color w:val="3D352B"/>
          <w:sz w:val="25"/>
        </w:rPr>
        <w:t>How AI agents may sign in to, read from and act in organizational systems.</w:t>
      </w:r>
    </w:p>
    <w:p>
      <w:pPr>
        <w:shd w:val="clear" w:color="auto" w:fill="EBE0C8"/>
        <w:pBdr>
          <w:left w:val="single" w:sz="18" w:space="4" w:color="573B1D"/>
        </w:pBdr>
        <w:spacing w:before="280"/>
      </w:pPr>
      <w:r>
        <w:rPr>
          <w:b w:val="0"/>
          <w:color w:val="573B1D"/>
          <w:sz w:val="14"/>
          <w:spacing w:val="30"/>
        </w:rPr>
        <w:t>HOW TO USE THIS TEMPLATE</w:t>
      </w:r>
      <w:r>
        <w:br/>
      </w:r>
      <w:r>
        <w:rPr>
          <w:b w:val="0"/>
          <w:sz w:val="19"/>
        </w:rPr>
        <w:t>Replace every [bracketed] item with your own. Delete any pattern your organization won't allow. Keep the crosswalk in section 13, because it shows where each requirement comes from. Have your security lead and system owners review sections 6 and 7 before you adopt it.</w:t>
      </w:r>
    </w:p>
    <w:p>
      <w:pPr>
        <w:pStyle w:val="Heading1"/>
        <w:pBdr>
          <w:top w:val="single" w:sz="4" w:space="4" w:color="D1C5B0"/>
        </w:pBdr>
      </w:pPr>
      <w:r>
        <w:rPr>
          <w:b w:val="0"/>
          <w:color w:val="573B1D"/>
          <w:sz w:val="16"/>
          <w:spacing w:val="30"/>
        </w:rPr>
        <w:t xml:space="preserve">01  </w:t>
      </w:r>
      <w:r>
        <w:t>Purpose</w:t>
      </w:r>
    </w:p>
    <w:p>
      <w:r>
        <w:t>This standard sets how AI agents get access to [Organization]'s systems and data, who approves that access, and what gets recorded. It exists so that every agent action can be traced to an agent, to the person it acted for, and to the decision that allowed it.</w:t>
      </w:r>
    </w:p>
    <w:p>
      <w:pPr>
        <w:pStyle w:val="Heading1"/>
        <w:pBdr>
          <w:top w:val="single" w:sz="4" w:space="4" w:color="D1C5B0"/>
        </w:pBdr>
      </w:pPr>
      <w:r>
        <w:rPr>
          <w:b w:val="0"/>
          <w:color w:val="573B1D"/>
          <w:sz w:val="16"/>
          <w:spacing w:val="30"/>
        </w:rPr>
        <w:t xml:space="preserve">02  </w:t>
      </w:r>
      <w:r>
        <w:t>Scope</w:t>
      </w:r>
    </w:p>
    <w:p>
      <w:r>
        <w:t>It applies to any AI agent that signs in to, reads from or takes action in a system that [Organization] owns or operates, or that handles [Organization] data, on behalf of a person or of the organization. That includes assistants, browser agents and coding agents, whether built in-house, bought, or brought by staff.</w:t>
      </w:r>
    </w:p>
    <w:p>
      <w:r>
        <w:t>AI tools that only see what a person pastes into them are covered by [Acceptable Use Policy] instead.</w:t>
      </w:r>
    </w:p>
    <w:p>
      <w:pPr>
        <w:pStyle w:val="Heading1"/>
        <w:pBdr>
          <w:top w:val="single" w:sz="4" w:space="4" w:color="D1C5B0"/>
        </w:pBdr>
      </w:pPr>
      <w:r>
        <w:rPr>
          <w:b w:val="0"/>
          <w:color w:val="573B1D"/>
          <w:sz w:val="16"/>
          <w:spacing w:val="30"/>
        </w:rPr>
        <w:t xml:space="preserve">03  </w:t>
      </w:r>
      <w:r>
        <w:t>Definitions</w:t>
      </w:r>
    </w:p>
    <w:tbl>
      <w:tblPr>
        <w:tblW w:type="auto" w:w="0"/>
        <w:jc w:val="left"/>
        <w:tblLayout w:type="fixed"/>
        <w:tblLook w:firstColumn="1" w:firstRow="1" w:lastColumn="0" w:lastRow="0" w:noHBand="0" w:noVBand="1" w:val="04A0"/>
        <w:tblBorders>
          <w:top w:val="nil"/>
          <w:left w:val="nil"/>
          <w:right w:val="nil"/>
          <w:insideV w:val="nil"/>
          <w:bottom w:val="single" w:sz="4" w:color="D1C5B0"/>
          <w:insideH w:val="single" w:sz="4" w:color="D1C5B0"/>
        </w:tblBorders>
        <w:tblCellMar>
          <w:top w:w="70" w:type="dxa"/>
          <w:bottom w:w="70" w:type="dxa"/>
          <w:left w:w="0" w:type="dxa"/>
          <w:right w:w="110" w:type="dxa"/>
        </w:tblCellMar>
      </w:tblPr>
      <w:tblGrid>
        <w:gridCol w:w="2701"/>
        <w:gridCol w:w="6947"/>
      </w:tblGrid>
      <w:tr>
        <w:trPr>
          <w:tblHeader/>
          <w:cantSplit/>
        </w:trPr>
        <w:tc>
          <w:tcPr>
            <w:tcW w:type="dxa" w:w="2701"/>
          </w:tcPr>
          <w:p>
            <w:pPr>
              <w:spacing w:after="40"/>
            </w:pPr>
            <w:r/>
            <w:r>
              <w:rPr>
                <w:b w:val="0"/>
                <w:color w:val="5C4E3C"/>
                <w:sz w:val="13"/>
                <w:spacing w:val="30"/>
              </w:rPr>
              <w:t>TERM</w:t>
            </w:r>
          </w:p>
        </w:tc>
        <w:tc>
          <w:tcPr>
            <w:tcW w:type="dxa" w:w="6947"/>
          </w:tcPr>
          <w:p>
            <w:pPr>
              <w:spacing w:after="40"/>
            </w:pPr>
            <w:r/>
            <w:r>
              <w:rPr>
                <w:b w:val="0"/>
                <w:color w:val="5C4E3C"/>
                <w:sz w:val="13"/>
                <w:spacing w:val="30"/>
              </w:rPr>
              <w:t>MEANING</w:t>
            </w:r>
          </w:p>
        </w:tc>
      </w:tr>
      <w:tr>
        <w:trPr>
          <w:cantSplit/>
        </w:trPr>
        <w:tc>
          <w:tcPr>
            <w:tcW w:type="dxa" w:w="2701"/>
          </w:tcPr>
          <w:p>
            <w:pPr>
              <w:spacing w:after="40"/>
            </w:pPr>
            <w:r/>
            <w:r>
              <w:rPr>
                <w:b w:val="0"/>
                <w:color w:val="1C1915"/>
                <w:sz w:val="18"/>
              </w:rPr>
              <w:t>Agent</w:t>
            </w:r>
          </w:p>
        </w:tc>
        <w:tc>
          <w:tcPr>
            <w:tcW w:type="dxa" w:w="6947"/>
          </w:tcPr>
          <w:p>
            <w:pPr>
              <w:spacing w:after="40"/>
            </w:pPr>
            <w:r/>
            <w:r>
              <w:rPr>
                <w:b w:val="0"/>
                <w:color w:val="3D352B"/>
                <w:sz w:val="18"/>
              </w:rPr>
              <w:t>Software that uses an AI model to decide on and take actions in a system with some independence.</w:t>
            </w:r>
          </w:p>
        </w:tc>
      </w:tr>
      <w:tr>
        <w:trPr>
          <w:cantSplit/>
        </w:trPr>
        <w:tc>
          <w:tcPr>
            <w:tcW w:type="dxa" w:w="2701"/>
          </w:tcPr>
          <w:p>
            <w:pPr>
              <w:spacing w:after="40"/>
            </w:pPr>
            <w:r/>
            <w:r>
              <w:rPr>
                <w:b w:val="0"/>
                <w:color w:val="1C1915"/>
                <w:sz w:val="18"/>
              </w:rPr>
              <w:t>Principal</w:t>
            </w:r>
          </w:p>
        </w:tc>
        <w:tc>
          <w:tcPr>
            <w:tcW w:type="dxa" w:w="6947"/>
          </w:tcPr>
          <w:p>
            <w:pPr>
              <w:spacing w:after="40"/>
            </w:pPr>
            <w:r/>
            <w:r>
              <w:rPr>
                <w:b w:val="0"/>
                <w:color w:val="3D352B"/>
                <w:sz w:val="18"/>
              </w:rPr>
              <w:t>The person or organizational role on whose behalf an agent acts.</w:t>
            </w:r>
          </w:p>
        </w:tc>
      </w:tr>
      <w:tr>
        <w:trPr>
          <w:cantSplit/>
        </w:trPr>
        <w:tc>
          <w:tcPr>
            <w:tcW w:type="dxa" w:w="2701"/>
          </w:tcPr>
          <w:p>
            <w:pPr>
              <w:spacing w:after="40"/>
            </w:pPr>
            <w:r/>
            <w:r>
              <w:rPr>
                <w:b w:val="0"/>
                <w:color w:val="1C1915"/>
                <w:sz w:val="18"/>
              </w:rPr>
              <w:t>Grant</w:t>
            </w:r>
          </w:p>
        </w:tc>
        <w:tc>
          <w:tcPr>
            <w:tcW w:type="dxa" w:w="6947"/>
          </w:tcPr>
          <w:p>
            <w:pPr>
              <w:spacing w:after="40"/>
            </w:pPr>
            <w:r/>
            <w:r>
              <w:rPr>
                <w:b w:val="0"/>
                <w:color w:val="3D352B"/>
                <w:sz w:val="18"/>
              </w:rPr>
              <w:t>A recorded permission for one agent to reach one system, for one principal, under one pattern.</w:t>
            </w:r>
          </w:p>
        </w:tc>
      </w:tr>
      <w:tr>
        <w:trPr>
          <w:cantSplit/>
        </w:trPr>
        <w:tc>
          <w:tcPr>
            <w:tcW w:type="dxa" w:w="2701"/>
          </w:tcPr>
          <w:p>
            <w:pPr>
              <w:spacing w:after="40"/>
            </w:pPr>
            <w:r/>
            <w:r>
              <w:rPr>
                <w:b w:val="0"/>
                <w:color w:val="1C1915"/>
                <w:sz w:val="18"/>
              </w:rPr>
              <w:t>Brokered sign-in</w:t>
            </w:r>
          </w:p>
        </w:tc>
        <w:tc>
          <w:tcPr>
            <w:tcW w:type="dxa" w:w="6947"/>
          </w:tcPr>
          <w:p>
            <w:pPr>
              <w:spacing w:after="40"/>
            </w:pPr>
            <w:r/>
            <w:r>
              <w:rPr>
                <w:b w:val="0"/>
                <w:color w:val="3D352B"/>
                <w:sz w:val="18"/>
              </w:rPr>
              <w:t>A credential manager or broker fills the principal's credential into the sign-in flow after the principal approves. The agent never receives the credential.</w:t>
            </w:r>
          </w:p>
        </w:tc>
      </w:tr>
      <w:tr>
        <w:trPr>
          <w:cantSplit/>
        </w:trPr>
        <w:tc>
          <w:tcPr>
            <w:tcW w:type="dxa" w:w="2701"/>
          </w:tcPr>
          <w:p>
            <w:pPr>
              <w:spacing w:after="40"/>
            </w:pPr>
            <w:r/>
            <w:r>
              <w:rPr>
                <w:b w:val="0"/>
                <w:color w:val="1C1915"/>
                <w:sz w:val="18"/>
              </w:rPr>
              <w:t>Delegated identity</w:t>
            </w:r>
          </w:p>
        </w:tc>
        <w:tc>
          <w:tcPr>
            <w:tcW w:type="dxa" w:w="6947"/>
          </w:tcPr>
          <w:p>
            <w:pPr>
              <w:spacing w:after="40"/>
            </w:pPr>
            <w:r/>
            <w:r>
              <w:rPr>
                <w:b w:val="0"/>
                <w:color w:val="3D352B"/>
                <w:sz w:val="18"/>
              </w:rPr>
              <w:t>The agent signs in as itself and carries a token that names both the agent and the principal, with scopes no wider than the task needs.</w:t>
            </w:r>
          </w:p>
        </w:tc>
      </w:tr>
      <w:tr>
        <w:trPr>
          <w:cantSplit/>
        </w:trPr>
        <w:tc>
          <w:tcPr>
            <w:tcW w:type="dxa" w:w="2701"/>
          </w:tcPr>
          <w:p>
            <w:pPr>
              <w:spacing w:after="40"/>
            </w:pPr>
            <w:r/>
            <w:r>
              <w:rPr>
                <w:b w:val="0"/>
                <w:color w:val="1C1915"/>
                <w:sz w:val="18"/>
              </w:rPr>
              <w:t>Model endpoint</w:t>
            </w:r>
          </w:p>
        </w:tc>
        <w:tc>
          <w:tcPr>
            <w:tcW w:type="dxa" w:w="6947"/>
          </w:tcPr>
          <w:p>
            <w:pPr>
              <w:spacing w:after="40"/>
            </w:pPr>
            <w:r/>
            <w:r>
              <w:rPr>
                <w:b w:val="0"/>
                <w:color w:val="3D352B"/>
                <w:sz w:val="18"/>
              </w:rPr>
              <w:t>The service where the agent's model runs. Everything the agent reads, including page content after sign-in, is sent there.</w:t>
            </w:r>
          </w:p>
        </w:tc>
      </w:tr>
      <w:tr>
        <w:trPr>
          <w:cantSplit/>
        </w:trPr>
        <w:tc>
          <w:tcPr>
            <w:tcW w:type="dxa" w:w="2701"/>
          </w:tcPr>
          <w:p>
            <w:pPr>
              <w:spacing w:after="40"/>
            </w:pPr>
            <w:r/>
            <w:r>
              <w:rPr>
                <w:b w:val="0"/>
                <w:color w:val="1C1915"/>
                <w:sz w:val="18"/>
              </w:rPr>
              <w:t>Authorized boundary</w:t>
            </w:r>
          </w:p>
        </w:tc>
        <w:tc>
          <w:tcPr>
            <w:tcW w:type="dxa" w:w="6947"/>
          </w:tcPr>
          <w:p>
            <w:pPr>
              <w:spacing w:after="40"/>
            </w:pPr>
            <w:r/>
            <w:r>
              <w:rPr>
                <w:b w:val="0"/>
                <w:color w:val="3D352B"/>
                <w:sz w:val="18"/>
              </w:rPr>
              <w:t>The systems and services approved to process a given class of data under [Organization]'s authorization documents, such as [system security plan].</w:t>
            </w:r>
          </w:p>
        </w:tc>
      </w:tr>
      <w:tr>
        <w:trPr>
          <w:cantSplit/>
        </w:trPr>
        <w:tc>
          <w:tcPr>
            <w:tcW w:type="dxa" w:w="2701"/>
          </w:tcPr>
          <w:p>
            <w:pPr>
              <w:spacing w:after="40"/>
            </w:pPr>
            <w:r/>
            <w:r>
              <w:rPr>
                <w:b w:val="0"/>
                <w:color w:val="1C1915"/>
                <w:sz w:val="18"/>
              </w:rPr>
              <w:t>Controlled data</w:t>
            </w:r>
          </w:p>
        </w:tc>
        <w:tc>
          <w:tcPr>
            <w:tcW w:type="dxa" w:w="6947"/>
          </w:tcPr>
          <w:p>
            <w:pPr>
              <w:spacing w:after="40"/>
            </w:pPr>
            <w:r/>
            <w:r>
              <w:rPr>
                <w:b w:val="0"/>
                <w:color w:val="3D352B"/>
                <w:sz w:val="18"/>
              </w:rPr>
              <w:t>Data with handling rules set by law, regulation, contract or policy, such as Controlled Unclassified Information.</w:t>
            </w:r>
          </w:p>
        </w:tc>
      </w:tr>
      <w:tr>
        <w:trPr>
          <w:cantSplit/>
        </w:trPr>
        <w:tc>
          <w:tcPr>
            <w:tcW w:type="dxa" w:w="2701"/>
          </w:tcPr>
          <w:p>
            <w:pPr>
              <w:spacing w:after="40"/>
            </w:pPr>
            <w:r/>
            <w:r>
              <w:rPr>
                <w:b w:val="0"/>
                <w:color w:val="1C1915"/>
                <w:sz w:val="18"/>
              </w:rPr>
              <w:t>High-impact action</w:t>
            </w:r>
          </w:p>
        </w:tc>
        <w:tc>
          <w:tcPr>
            <w:tcW w:type="dxa" w:w="6947"/>
          </w:tcPr>
          <w:p>
            <w:pPr>
              <w:spacing w:after="40"/>
            </w:pPr>
            <w:r/>
            <w:r>
              <w:rPr>
                <w:b w:val="0"/>
                <w:color w:val="3D352B"/>
                <w:sz w:val="18"/>
              </w:rPr>
              <w:t>An action that can't be undone, spends money, sends information outside [Organization], changes access, or deletes records.</w:t>
            </w:r>
          </w:p>
        </w:tc>
      </w:tr>
      <w:tr>
        <w:trPr>
          <w:cantSplit/>
        </w:trPr>
        <w:tc>
          <w:tcPr>
            <w:tcW w:type="dxa" w:w="2701"/>
          </w:tcPr>
          <w:p>
            <w:pPr>
              <w:spacing w:after="40"/>
            </w:pPr>
            <w:r/>
            <w:r>
              <w:rPr>
                <w:b w:val="0"/>
                <w:color w:val="1C1915"/>
                <w:sz w:val="18"/>
              </w:rPr>
              <w:t>Step-up approval</w:t>
            </w:r>
          </w:p>
        </w:tc>
        <w:tc>
          <w:tcPr>
            <w:tcW w:type="dxa" w:w="6947"/>
          </w:tcPr>
          <w:p>
            <w:pPr>
              <w:spacing w:after="40"/>
            </w:pPr>
            <w:r/>
            <w:r>
              <w:rPr>
                <w:b w:val="0"/>
                <w:color w:val="3D352B"/>
                <w:sz w:val="18"/>
              </w:rPr>
              <w:t>A fresh, specific human approval for one high-impact action, given just before it runs.</w:t>
            </w:r>
          </w:p>
        </w:tc>
      </w:tr>
    </w:tbl>
    <w:p>
      <w:pPr>
        <w:spacing w:after="0"/>
      </w:pPr>
    </w:p>
    <w:p>
      <w:pPr>
        <w:pStyle w:val="Heading1"/>
        <w:pBdr>
          <w:top w:val="single" w:sz="4" w:space="4" w:color="D1C5B0"/>
        </w:pBdr>
      </w:pPr>
      <w:r>
        <w:rPr>
          <w:b w:val="0"/>
          <w:color w:val="573B1D"/>
          <w:sz w:val="16"/>
          <w:spacing w:val="30"/>
        </w:rPr>
        <w:t xml:space="preserve">04  </w:t>
      </w:r>
      <w:r>
        <w:t>Roles</w:t>
      </w:r>
    </w:p>
    <w:p>
      <w:r>
        <w:t>R does the work, A owns the decision, C is consulted, I is informed. Rename the roles to match your organization.</w:t>
      </w:r>
    </w:p>
    <w:tbl>
      <w:tblPr>
        <w:tblW w:type="auto" w:w="0"/>
        <w:jc w:val="left"/>
        <w:tblLayout w:type="fixed"/>
        <w:tblLook w:firstColumn="1" w:firstRow="1" w:lastColumn="0" w:lastRow="0" w:noHBand="0" w:noVBand="1" w:val="04A0"/>
        <w:tblBorders>
          <w:top w:val="nil"/>
          <w:left w:val="nil"/>
          <w:right w:val="nil"/>
          <w:insideV w:val="nil"/>
          <w:bottom w:val="single" w:sz="4" w:color="D1C5B0"/>
          <w:insideH w:val="single" w:sz="4" w:color="D1C5B0"/>
        </w:tblBorders>
        <w:tblCellMar>
          <w:top w:w="70" w:type="dxa"/>
          <w:bottom w:w="70" w:type="dxa"/>
          <w:left w:w="0" w:type="dxa"/>
          <w:right w:w="110" w:type="dxa"/>
        </w:tblCellMar>
      </w:tblPr>
      <w:tblGrid>
        <w:gridCol w:w="3473"/>
        <w:gridCol w:w="1158"/>
        <w:gridCol w:w="1254"/>
        <w:gridCol w:w="1254"/>
        <w:gridCol w:w="1254"/>
        <w:gridCol w:w="1254"/>
      </w:tblGrid>
      <w:tr>
        <w:trPr>
          <w:tblHeader/>
          <w:cantSplit/>
        </w:trPr>
        <w:tc>
          <w:tcPr>
            <w:tcW w:type="dxa" w:w="3473"/>
          </w:tcPr>
          <w:p>
            <w:pPr>
              <w:spacing w:after="40"/>
            </w:pPr>
            <w:r/>
            <w:r>
              <w:rPr>
                <w:b w:val="0"/>
                <w:color w:val="5C4E3C"/>
                <w:sz w:val="13"/>
                <w:spacing w:val="30"/>
              </w:rPr>
              <w:t>ACTIVITY</w:t>
            </w:r>
          </w:p>
        </w:tc>
        <w:tc>
          <w:tcPr>
            <w:tcW w:type="dxa" w:w="1158"/>
          </w:tcPr>
          <w:p>
            <w:pPr>
              <w:spacing w:after="40"/>
            </w:pPr>
            <w:r/>
            <w:r>
              <w:rPr>
                <w:b w:val="0"/>
                <w:color w:val="5C4E3C"/>
                <w:sz w:val="13"/>
                <w:spacing w:val="30"/>
              </w:rPr>
              <w:t>PRINCIPAL</w:t>
            </w:r>
          </w:p>
        </w:tc>
        <w:tc>
          <w:tcPr>
            <w:tcW w:type="dxa" w:w="1254"/>
          </w:tcPr>
          <w:p>
            <w:pPr>
              <w:spacing w:after="40"/>
            </w:pPr>
            <w:r/>
            <w:r>
              <w:rPr>
                <w:b w:val="0"/>
                <w:color w:val="5C4E3C"/>
                <w:sz w:val="13"/>
                <w:spacing w:val="30"/>
              </w:rPr>
              <w:t>SYSTEM OWNER</w:t>
            </w:r>
          </w:p>
        </w:tc>
        <w:tc>
          <w:tcPr>
            <w:tcW w:type="dxa" w:w="1254"/>
          </w:tcPr>
          <w:p>
            <w:pPr>
              <w:spacing w:after="40"/>
            </w:pPr>
            <w:r/>
            <w:r>
              <w:rPr>
                <w:b w:val="0"/>
                <w:color w:val="5C4E3C"/>
                <w:sz w:val="13"/>
                <w:spacing w:val="30"/>
              </w:rPr>
              <w:t>SECURITY LEAD</w:t>
            </w:r>
          </w:p>
        </w:tc>
        <w:tc>
          <w:tcPr>
            <w:tcW w:type="dxa" w:w="1254"/>
          </w:tcPr>
          <w:p>
            <w:pPr>
              <w:spacing w:after="40"/>
            </w:pPr>
            <w:r/>
            <w:r>
              <w:rPr>
                <w:b w:val="0"/>
                <w:color w:val="5C4E3C"/>
                <w:sz w:val="13"/>
                <w:spacing w:val="30"/>
              </w:rPr>
              <w:t>AI GOVERNANCE LEAD</w:t>
            </w:r>
          </w:p>
        </w:tc>
        <w:tc>
          <w:tcPr>
            <w:tcW w:type="dxa" w:w="1254"/>
          </w:tcPr>
          <w:p>
            <w:pPr>
              <w:spacing w:after="40"/>
            </w:pPr>
            <w:r/>
            <w:r>
              <w:rPr>
                <w:b w:val="0"/>
                <w:color w:val="5C4E3C"/>
                <w:sz w:val="13"/>
                <w:spacing w:val="30"/>
              </w:rPr>
              <w:t>ACCOUNTABLE EXECUTIVE</w:t>
            </w:r>
          </w:p>
        </w:tc>
      </w:tr>
      <w:tr>
        <w:trPr>
          <w:cantSplit/>
        </w:trPr>
        <w:tc>
          <w:tcPr>
            <w:tcW w:type="dxa" w:w="3473"/>
          </w:tcPr>
          <w:p>
            <w:pPr>
              <w:spacing w:after="40"/>
            </w:pPr>
            <w:r/>
            <w:r>
              <w:rPr>
                <w:b w:val="0"/>
                <w:color w:val="1C1915"/>
                <w:sz w:val="16"/>
              </w:rPr>
              <w:t>Register an agent</w:t>
            </w:r>
          </w:p>
        </w:tc>
        <w:tc>
          <w:tcPr>
            <w:tcW w:type="dxa" w:w="1158"/>
          </w:tcPr>
          <w:p>
            <w:pPr>
              <w:spacing w:after="40"/>
              <w:jc w:val="center"/>
            </w:pPr>
            <w:r/>
            <w:r>
              <w:rPr>
                <w:b w:val="0"/>
                <w:color w:val="3D352B"/>
                <w:sz w:val="16"/>
              </w:rPr>
              <w:t>R</w:t>
            </w:r>
          </w:p>
        </w:tc>
        <w:tc>
          <w:tcPr>
            <w:tcW w:type="dxa" w:w="1254"/>
          </w:tcPr>
          <w:p>
            <w:pPr>
              <w:spacing w:after="40"/>
              <w:jc w:val="center"/>
            </w:pPr>
            <w:r/>
            <w:r>
              <w:rPr>
                <w:b w:val="0"/>
                <w:color w:val="3D352B"/>
                <w:sz w:val="16"/>
              </w:rPr>
              <w:t>I</w:t>
            </w:r>
          </w:p>
        </w:tc>
        <w:tc>
          <w:tcPr>
            <w:tcW w:type="dxa" w:w="1254"/>
          </w:tcPr>
          <w:p>
            <w:pPr>
              <w:spacing w:after="40"/>
              <w:jc w:val="center"/>
            </w:pPr>
            <w:r/>
            <w:r>
              <w:rPr>
                <w:b w:val="0"/>
                <w:color w:val="3D352B"/>
                <w:sz w:val="16"/>
              </w:rPr>
              <w:t>C</w:t>
            </w:r>
          </w:p>
        </w:tc>
        <w:tc>
          <w:tcPr>
            <w:tcW w:type="dxa" w:w="1254"/>
          </w:tcPr>
          <w:p>
            <w:pPr>
              <w:spacing w:after="40"/>
              <w:jc w:val="center"/>
            </w:pPr>
            <w:r/>
            <w:r>
              <w:rPr>
                <w:b w:val="0"/>
                <w:color w:val="3D352B"/>
                <w:sz w:val="16"/>
              </w:rPr>
              <w:t>A</w:t>
            </w:r>
          </w:p>
        </w:tc>
        <w:tc>
          <w:tcPr>
            <w:tcW w:type="dxa" w:w="1254"/>
          </w:tcPr>
          <w:p>
            <w:pPr>
              <w:spacing w:after="40"/>
              <w:jc w:val="center"/>
            </w:pPr>
            <w:r/>
            <w:r>
              <w:rPr>
                <w:b w:val="0"/>
                <w:color w:val="3D352B"/>
                <w:sz w:val="16"/>
              </w:rPr>
              <w:t>I</w:t>
            </w:r>
          </w:p>
        </w:tc>
      </w:tr>
      <w:tr>
        <w:trPr>
          <w:cantSplit/>
        </w:trPr>
        <w:tc>
          <w:tcPr>
            <w:tcW w:type="dxa" w:w="3473"/>
          </w:tcPr>
          <w:p>
            <w:pPr>
              <w:spacing w:after="40"/>
            </w:pPr>
            <w:r/>
            <w:r>
              <w:rPr>
                <w:b w:val="0"/>
                <w:color w:val="1C1915"/>
                <w:sz w:val="16"/>
              </w:rPr>
              <w:t>Approve a Pattern A grant</w:t>
            </w:r>
          </w:p>
        </w:tc>
        <w:tc>
          <w:tcPr>
            <w:tcW w:type="dxa" w:w="1158"/>
          </w:tcPr>
          <w:p>
            <w:pPr>
              <w:spacing w:after="40"/>
              <w:jc w:val="center"/>
            </w:pPr>
            <w:r/>
            <w:r>
              <w:rPr>
                <w:b w:val="0"/>
                <w:color w:val="3D352B"/>
                <w:sz w:val="16"/>
              </w:rPr>
              <w:t>R</w:t>
            </w:r>
          </w:p>
        </w:tc>
        <w:tc>
          <w:tcPr>
            <w:tcW w:type="dxa" w:w="1254"/>
          </w:tcPr>
          <w:p>
            <w:pPr>
              <w:spacing w:after="40"/>
              <w:jc w:val="center"/>
            </w:pPr>
            <w:r/>
            <w:r>
              <w:rPr>
                <w:b w:val="0"/>
                <w:color w:val="3D352B"/>
                <w:sz w:val="16"/>
              </w:rPr>
              <w:t>A</w:t>
            </w:r>
          </w:p>
        </w:tc>
        <w:tc>
          <w:tcPr>
            <w:tcW w:type="dxa" w:w="1254"/>
          </w:tcPr>
          <w:p>
            <w:pPr>
              <w:spacing w:after="40"/>
              <w:jc w:val="center"/>
            </w:pPr>
            <w:r/>
            <w:r>
              <w:rPr>
                <w:b w:val="0"/>
                <w:color w:val="3D352B"/>
                <w:sz w:val="16"/>
              </w:rPr>
              <w:t>C</w:t>
            </w:r>
          </w:p>
        </w:tc>
        <w:tc>
          <w:tcPr>
            <w:tcW w:type="dxa" w:w="1254"/>
          </w:tcPr>
          <w:p>
            <w:pPr>
              <w:spacing w:after="40"/>
              <w:jc w:val="center"/>
            </w:pPr>
            <w:r/>
            <w:r>
              <w:rPr>
                <w:b w:val="0"/>
                <w:color w:val="3D352B"/>
                <w:sz w:val="16"/>
              </w:rPr>
              <w:t>I</w:t>
            </w:r>
          </w:p>
        </w:tc>
        <w:tc>
          <w:tcPr>
            <w:tcW w:type="dxa" w:w="1254"/>
          </w:tcPr>
          <w:p>
            <w:pPr>
              <w:spacing w:after="40"/>
              <w:jc w:val="center"/>
            </w:pPr>
            <w:r/>
            <w:r>
              <w:rPr>
                <w:b w:val="0"/>
                <w:color w:val="3D352B"/>
                <w:sz w:val="16"/>
              </w:rPr>
            </w:r>
          </w:p>
        </w:tc>
      </w:tr>
      <w:tr>
        <w:trPr>
          <w:cantSplit/>
        </w:trPr>
        <w:tc>
          <w:tcPr>
            <w:tcW w:type="dxa" w:w="3473"/>
          </w:tcPr>
          <w:p>
            <w:pPr>
              <w:spacing w:after="40"/>
            </w:pPr>
            <w:r/>
            <w:r>
              <w:rPr>
                <w:b w:val="0"/>
                <w:color w:val="1C1915"/>
                <w:sz w:val="16"/>
              </w:rPr>
              <w:t>Approve a Pattern B grant</w:t>
            </w:r>
          </w:p>
        </w:tc>
        <w:tc>
          <w:tcPr>
            <w:tcW w:type="dxa" w:w="1158"/>
          </w:tcPr>
          <w:p>
            <w:pPr>
              <w:spacing w:after="40"/>
              <w:jc w:val="center"/>
            </w:pPr>
            <w:r/>
            <w:r>
              <w:rPr>
                <w:b w:val="0"/>
                <w:color w:val="3D352B"/>
                <w:sz w:val="16"/>
              </w:rPr>
              <w:t>R</w:t>
            </w:r>
          </w:p>
        </w:tc>
        <w:tc>
          <w:tcPr>
            <w:tcW w:type="dxa" w:w="1254"/>
          </w:tcPr>
          <w:p>
            <w:pPr>
              <w:spacing w:after="40"/>
              <w:jc w:val="center"/>
            </w:pPr>
            <w:r/>
            <w:r>
              <w:rPr>
                <w:b w:val="0"/>
                <w:color w:val="3D352B"/>
                <w:sz w:val="16"/>
              </w:rPr>
              <w:t>A</w:t>
            </w:r>
          </w:p>
        </w:tc>
        <w:tc>
          <w:tcPr>
            <w:tcW w:type="dxa" w:w="1254"/>
          </w:tcPr>
          <w:p>
            <w:pPr>
              <w:spacing w:after="40"/>
              <w:jc w:val="center"/>
            </w:pPr>
            <w:r/>
            <w:r>
              <w:rPr>
                <w:b w:val="0"/>
                <w:color w:val="3D352B"/>
                <w:sz w:val="16"/>
              </w:rPr>
              <w:t>R</w:t>
            </w:r>
          </w:p>
        </w:tc>
        <w:tc>
          <w:tcPr>
            <w:tcW w:type="dxa" w:w="1254"/>
          </w:tcPr>
          <w:p>
            <w:pPr>
              <w:spacing w:after="40"/>
              <w:jc w:val="center"/>
            </w:pPr>
            <w:r/>
            <w:r>
              <w:rPr>
                <w:b w:val="0"/>
                <w:color w:val="3D352B"/>
                <w:sz w:val="16"/>
              </w:rPr>
              <w:t>C</w:t>
            </w:r>
          </w:p>
        </w:tc>
        <w:tc>
          <w:tcPr>
            <w:tcW w:type="dxa" w:w="1254"/>
          </w:tcPr>
          <w:p>
            <w:pPr>
              <w:spacing w:after="40"/>
              <w:jc w:val="center"/>
            </w:pPr>
            <w:r/>
            <w:r>
              <w:rPr>
                <w:b w:val="0"/>
                <w:color w:val="3D352B"/>
                <w:sz w:val="16"/>
              </w:rPr>
              <w:t>I</w:t>
            </w:r>
          </w:p>
        </w:tc>
      </w:tr>
      <w:tr>
        <w:trPr>
          <w:cantSplit/>
        </w:trPr>
        <w:tc>
          <w:tcPr>
            <w:tcW w:type="dxa" w:w="3473"/>
          </w:tcPr>
          <w:p>
            <w:pPr>
              <w:spacing w:after="40"/>
            </w:pPr>
            <w:r/>
            <w:r>
              <w:rPr>
                <w:b w:val="0"/>
                <w:color w:val="1C1915"/>
                <w:sz w:val="16"/>
              </w:rPr>
              <w:t>Confirm the model endpoint is inside the boundary</w:t>
            </w:r>
          </w:p>
        </w:tc>
        <w:tc>
          <w:tcPr>
            <w:tcW w:type="dxa" w:w="1158"/>
          </w:tcPr>
          <w:p>
            <w:pPr>
              <w:spacing w:after="40"/>
              <w:jc w:val="center"/>
            </w:pPr>
            <w:r/>
            <w:r>
              <w:rPr>
                <w:b w:val="0"/>
                <w:color w:val="3D352B"/>
                <w:sz w:val="16"/>
              </w:rPr>
            </w:r>
          </w:p>
        </w:tc>
        <w:tc>
          <w:tcPr>
            <w:tcW w:type="dxa" w:w="1254"/>
          </w:tcPr>
          <w:p>
            <w:pPr>
              <w:spacing w:after="40"/>
              <w:jc w:val="center"/>
            </w:pPr>
            <w:r/>
            <w:r>
              <w:rPr>
                <w:b w:val="0"/>
                <w:color w:val="3D352B"/>
                <w:sz w:val="16"/>
              </w:rPr>
              <w:t>C</w:t>
            </w:r>
          </w:p>
        </w:tc>
        <w:tc>
          <w:tcPr>
            <w:tcW w:type="dxa" w:w="1254"/>
          </w:tcPr>
          <w:p>
            <w:pPr>
              <w:spacing w:after="40"/>
              <w:jc w:val="center"/>
            </w:pPr>
            <w:r/>
            <w:r>
              <w:rPr>
                <w:b w:val="0"/>
                <w:color w:val="3D352B"/>
                <w:sz w:val="16"/>
              </w:rPr>
              <w:t>A</w:t>
            </w:r>
          </w:p>
        </w:tc>
        <w:tc>
          <w:tcPr>
            <w:tcW w:type="dxa" w:w="1254"/>
          </w:tcPr>
          <w:p>
            <w:pPr>
              <w:spacing w:after="40"/>
              <w:jc w:val="center"/>
            </w:pPr>
            <w:r/>
            <w:r>
              <w:rPr>
                <w:b w:val="0"/>
                <w:color w:val="3D352B"/>
                <w:sz w:val="16"/>
              </w:rPr>
              <w:t>C</w:t>
            </w:r>
          </w:p>
        </w:tc>
        <w:tc>
          <w:tcPr>
            <w:tcW w:type="dxa" w:w="1254"/>
          </w:tcPr>
          <w:p>
            <w:pPr>
              <w:spacing w:after="40"/>
              <w:jc w:val="center"/>
            </w:pPr>
            <w:r/>
            <w:r>
              <w:rPr>
                <w:b w:val="0"/>
                <w:color w:val="3D352B"/>
                <w:sz w:val="16"/>
              </w:rPr>
              <w:t>I</w:t>
            </w:r>
          </w:p>
        </w:tc>
      </w:tr>
      <w:tr>
        <w:trPr>
          <w:cantSplit/>
        </w:trPr>
        <w:tc>
          <w:tcPr>
            <w:tcW w:type="dxa" w:w="3473"/>
          </w:tcPr>
          <w:p>
            <w:pPr>
              <w:spacing w:after="40"/>
            </w:pPr>
            <w:r/>
            <w:r>
              <w:rPr>
                <w:b w:val="0"/>
                <w:color w:val="1C1915"/>
                <w:sz w:val="16"/>
              </w:rPr>
              <w:t>Accept risk for high-impact use or an exception</w:t>
            </w:r>
          </w:p>
        </w:tc>
        <w:tc>
          <w:tcPr>
            <w:tcW w:type="dxa" w:w="1158"/>
          </w:tcPr>
          <w:p>
            <w:pPr>
              <w:spacing w:after="40"/>
              <w:jc w:val="center"/>
            </w:pPr>
            <w:r/>
            <w:r>
              <w:rPr>
                <w:b w:val="0"/>
                <w:color w:val="3D352B"/>
                <w:sz w:val="16"/>
              </w:rPr>
              <w:t>I</w:t>
            </w:r>
          </w:p>
        </w:tc>
        <w:tc>
          <w:tcPr>
            <w:tcW w:type="dxa" w:w="1254"/>
          </w:tcPr>
          <w:p>
            <w:pPr>
              <w:spacing w:after="40"/>
              <w:jc w:val="center"/>
            </w:pPr>
            <w:r/>
            <w:r>
              <w:rPr>
                <w:b w:val="0"/>
                <w:color w:val="3D352B"/>
                <w:sz w:val="16"/>
              </w:rPr>
              <w:t>R</w:t>
            </w:r>
          </w:p>
        </w:tc>
        <w:tc>
          <w:tcPr>
            <w:tcW w:type="dxa" w:w="1254"/>
          </w:tcPr>
          <w:p>
            <w:pPr>
              <w:spacing w:after="40"/>
              <w:jc w:val="center"/>
            </w:pPr>
            <w:r/>
            <w:r>
              <w:rPr>
                <w:b w:val="0"/>
                <w:color w:val="3D352B"/>
                <w:sz w:val="16"/>
              </w:rPr>
              <w:t>C</w:t>
            </w:r>
          </w:p>
        </w:tc>
        <w:tc>
          <w:tcPr>
            <w:tcW w:type="dxa" w:w="1254"/>
          </w:tcPr>
          <w:p>
            <w:pPr>
              <w:spacing w:after="40"/>
              <w:jc w:val="center"/>
            </w:pPr>
            <w:r/>
            <w:r>
              <w:rPr>
                <w:b w:val="0"/>
                <w:color w:val="3D352B"/>
                <w:sz w:val="16"/>
              </w:rPr>
              <w:t>C</w:t>
            </w:r>
          </w:p>
        </w:tc>
        <w:tc>
          <w:tcPr>
            <w:tcW w:type="dxa" w:w="1254"/>
          </w:tcPr>
          <w:p>
            <w:pPr>
              <w:spacing w:after="40"/>
              <w:jc w:val="center"/>
            </w:pPr>
            <w:r/>
            <w:r>
              <w:rPr>
                <w:b w:val="0"/>
                <w:color w:val="3D352B"/>
                <w:sz w:val="16"/>
              </w:rPr>
              <w:t>A</w:t>
            </w:r>
          </w:p>
        </w:tc>
      </w:tr>
      <w:tr>
        <w:trPr>
          <w:cantSplit/>
        </w:trPr>
        <w:tc>
          <w:tcPr>
            <w:tcW w:type="dxa" w:w="3473"/>
          </w:tcPr>
          <w:p>
            <w:pPr>
              <w:spacing w:after="40"/>
            </w:pPr>
            <w:r/>
            <w:r>
              <w:rPr>
                <w:b w:val="0"/>
                <w:color w:val="1C1915"/>
                <w:sz w:val="16"/>
              </w:rPr>
              <w:t>Review the register</w:t>
            </w:r>
          </w:p>
        </w:tc>
        <w:tc>
          <w:tcPr>
            <w:tcW w:type="dxa" w:w="1158"/>
          </w:tcPr>
          <w:p>
            <w:pPr>
              <w:spacing w:after="40"/>
              <w:jc w:val="center"/>
            </w:pPr>
            <w:r/>
            <w:r>
              <w:rPr>
                <w:b w:val="0"/>
                <w:color w:val="3D352B"/>
                <w:sz w:val="16"/>
              </w:rPr>
            </w:r>
          </w:p>
        </w:tc>
        <w:tc>
          <w:tcPr>
            <w:tcW w:type="dxa" w:w="1254"/>
          </w:tcPr>
          <w:p>
            <w:pPr>
              <w:spacing w:after="40"/>
              <w:jc w:val="center"/>
            </w:pPr>
            <w:r/>
            <w:r>
              <w:rPr>
                <w:b w:val="0"/>
                <w:color w:val="3D352B"/>
                <w:sz w:val="16"/>
              </w:rPr>
              <w:t>C</w:t>
            </w:r>
          </w:p>
        </w:tc>
        <w:tc>
          <w:tcPr>
            <w:tcW w:type="dxa" w:w="1254"/>
          </w:tcPr>
          <w:p>
            <w:pPr>
              <w:spacing w:after="40"/>
              <w:jc w:val="center"/>
            </w:pPr>
            <w:r/>
            <w:r>
              <w:rPr>
                <w:b w:val="0"/>
                <w:color w:val="3D352B"/>
                <w:sz w:val="16"/>
              </w:rPr>
              <w:t>C</w:t>
            </w:r>
          </w:p>
        </w:tc>
        <w:tc>
          <w:tcPr>
            <w:tcW w:type="dxa" w:w="1254"/>
          </w:tcPr>
          <w:p>
            <w:pPr>
              <w:spacing w:after="40"/>
              <w:jc w:val="center"/>
            </w:pPr>
            <w:r/>
            <w:r>
              <w:rPr>
                <w:b w:val="0"/>
                <w:color w:val="3D352B"/>
                <w:sz w:val="16"/>
              </w:rPr>
              <w:t>A</w:t>
            </w:r>
          </w:p>
        </w:tc>
        <w:tc>
          <w:tcPr>
            <w:tcW w:type="dxa" w:w="1254"/>
          </w:tcPr>
          <w:p>
            <w:pPr>
              <w:spacing w:after="40"/>
              <w:jc w:val="center"/>
            </w:pPr>
            <w:r/>
            <w:r>
              <w:rPr>
                <w:b w:val="0"/>
                <w:color w:val="3D352B"/>
                <w:sz w:val="16"/>
              </w:rPr>
              <w:t>I</w:t>
            </w:r>
          </w:p>
        </w:tc>
      </w:tr>
      <w:tr>
        <w:trPr>
          <w:cantSplit/>
        </w:trPr>
        <w:tc>
          <w:tcPr>
            <w:tcW w:type="dxa" w:w="3473"/>
          </w:tcPr>
          <w:p>
            <w:pPr>
              <w:spacing w:after="40"/>
            </w:pPr>
            <w:r/>
            <w:r>
              <w:rPr>
                <w:b w:val="0"/>
                <w:color w:val="1C1915"/>
                <w:sz w:val="16"/>
              </w:rPr>
              <w:t>Revoke a grant</w:t>
            </w:r>
          </w:p>
        </w:tc>
        <w:tc>
          <w:tcPr>
            <w:tcW w:type="dxa" w:w="1158"/>
          </w:tcPr>
          <w:p>
            <w:pPr>
              <w:spacing w:after="40"/>
              <w:jc w:val="center"/>
            </w:pPr>
            <w:r/>
            <w:r>
              <w:rPr>
                <w:b w:val="0"/>
                <w:color w:val="3D352B"/>
                <w:sz w:val="16"/>
              </w:rPr>
              <w:t>R</w:t>
            </w:r>
          </w:p>
        </w:tc>
        <w:tc>
          <w:tcPr>
            <w:tcW w:type="dxa" w:w="1254"/>
          </w:tcPr>
          <w:p>
            <w:pPr>
              <w:spacing w:after="40"/>
              <w:jc w:val="center"/>
            </w:pPr>
            <w:r/>
            <w:r>
              <w:rPr>
                <w:b w:val="0"/>
                <w:color w:val="3D352B"/>
                <w:sz w:val="16"/>
              </w:rPr>
              <w:t>A</w:t>
            </w:r>
          </w:p>
        </w:tc>
        <w:tc>
          <w:tcPr>
            <w:tcW w:type="dxa" w:w="1254"/>
          </w:tcPr>
          <w:p>
            <w:pPr>
              <w:spacing w:after="40"/>
              <w:jc w:val="center"/>
            </w:pPr>
            <w:r/>
            <w:r>
              <w:rPr>
                <w:b w:val="0"/>
                <w:color w:val="3D352B"/>
                <w:sz w:val="16"/>
              </w:rPr>
              <w:t>R</w:t>
            </w:r>
          </w:p>
        </w:tc>
        <w:tc>
          <w:tcPr>
            <w:tcW w:type="dxa" w:w="1254"/>
          </w:tcPr>
          <w:p>
            <w:pPr>
              <w:spacing w:after="40"/>
              <w:jc w:val="center"/>
            </w:pPr>
            <w:r/>
            <w:r>
              <w:rPr>
                <w:b w:val="0"/>
                <w:color w:val="3D352B"/>
                <w:sz w:val="16"/>
              </w:rPr>
              <w:t>I</w:t>
            </w:r>
          </w:p>
        </w:tc>
        <w:tc>
          <w:tcPr>
            <w:tcW w:type="dxa" w:w="1254"/>
          </w:tcPr>
          <w:p>
            <w:pPr>
              <w:spacing w:after="40"/>
              <w:jc w:val="center"/>
            </w:pPr>
            <w:r/>
            <w:r>
              <w:rPr>
                <w:b w:val="0"/>
                <w:color w:val="3D352B"/>
                <w:sz w:val="16"/>
              </w:rPr>
              <w:t>I</w:t>
            </w:r>
          </w:p>
        </w:tc>
      </w:tr>
    </w:tbl>
    <w:p>
      <w:pPr>
        <w:spacing w:after="0"/>
      </w:pPr>
    </w:p>
    <w:p>
      <w:r>
        <w:t>The accountable executive is the person who owns AI risk for [Organization], such as a Chief AI Officer. Anyone in these roles may revoke a grant at once. Restoring access takes a new grant.</w:t>
      </w:r>
    </w:p>
    <w:p>
      <w:pPr>
        <w:pStyle w:val="Heading1"/>
        <w:pBdr>
          <w:top w:val="single" w:sz="4" w:space="4" w:color="D1C5B0"/>
        </w:pBdr>
      </w:pPr>
      <w:r>
        <w:rPr>
          <w:b w:val="0"/>
          <w:color w:val="573B1D"/>
          <w:sz w:val="16"/>
          <w:spacing w:val="30"/>
        </w:rPr>
        <w:t xml:space="preserve">05  </w:t>
      </w:r>
      <w:r>
        <w:t>Requirements</w:t>
      </w:r>
    </w:p>
    <w:tbl>
      <w:tblPr>
        <w:tblW w:type="auto" w:w="0"/>
        <w:jc w:val="left"/>
        <w:tblLayout w:type="fixed"/>
        <w:tblLook w:firstColumn="1" w:firstRow="1" w:lastColumn="0" w:lastRow="0" w:noHBand="0" w:noVBand="1" w:val="04A0"/>
        <w:tblBorders>
          <w:top w:val="nil"/>
          <w:left w:val="nil"/>
          <w:right w:val="nil"/>
          <w:insideV w:val="nil"/>
          <w:bottom w:val="single" w:sz="4" w:color="D1C5B0"/>
          <w:insideH w:val="single" w:sz="4" w:color="D1C5B0"/>
        </w:tblBorders>
        <w:tblCellMar>
          <w:top w:w="70" w:type="dxa"/>
          <w:bottom w:w="70" w:type="dxa"/>
          <w:left w:w="0" w:type="dxa"/>
          <w:right w:w="110" w:type="dxa"/>
        </w:tblCellMar>
      </w:tblPr>
      <w:tblGrid>
        <w:gridCol w:w="772"/>
        <w:gridCol w:w="5596"/>
        <w:gridCol w:w="3280"/>
      </w:tblGrid>
      <w:tr>
        <w:trPr>
          <w:tblHeader/>
          <w:cantSplit/>
        </w:trPr>
        <w:tc>
          <w:tcPr>
            <w:tcW w:type="dxa" w:w="772"/>
          </w:tcPr>
          <w:p>
            <w:pPr>
              <w:spacing w:after="40"/>
            </w:pPr>
            <w:r/>
            <w:r>
              <w:rPr>
                <w:b w:val="0"/>
                <w:color w:val="5C4E3C"/>
                <w:sz w:val="13"/>
                <w:spacing w:val="30"/>
              </w:rPr>
              <w:t>REQ.</w:t>
            </w:r>
          </w:p>
        </w:tc>
        <w:tc>
          <w:tcPr>
            <w:tcW w:type="dxa" w:w="5596"/>
          </w:tcPr>
          <w:p>
            <w:pPr>
              <w:spacing w:after="40"/>
            </w:pPr>
            <w:r/>
            <w:r>
              <w:rPr>
                <w:b w:val="0"/>
                <w:color w:val="5C4E3C"/>
                <w:sz w:val="13"/>
                <w:spacing w:val="30"/>
              </w:rPr>
              <w:t>REQUIREMENT</w:t>
            </w:r>
          </w:p>
        </w:tc>
        <w:tc>
          <w:tcPr>
            <w:tcW w:type="dxa" w:w="3280"/>
          </w:tcPr>
          <w:p>
            <w:pPr>
              <w:spacing w:after="40"/>
            </w:pPr>
            <w:r/>
            <w:r>
              <w:rPr>
                <w:b w:val="0"/>
                <w:color w:val="5C4E3C"/>
                <w:sz w:val="13"/>
                <w:spacing w:val="30"/>
              </w:rPr>
              <w:t>SOURCE</w:t>
            </w:r>
          </w:p>
        </w:tc>
      </w:tr>
      <w:tr>
        <w:trPr>
          <w:cantSplit/>
        </w:trPr>
        <w:tc>
          <w:tcPr>
            <w:tcW w:type="dxa" w:w="772"/>
          </w:tcPr>
          <w:p>
            <w:pPr>
              <w:spacing w:after="40"/>
            </w:pPr>
            <w:r/>
            <w:r>
              <w:rPr>
                <w:b w:val="0"/>
                <w:color w:val="1C1915"/>
                <w:sz w:val="18"/>
              </w:rPr>
              <w:t>5.1</w:t>
            </w:r>
          </w:p>
        </w:tc>
        <w:tc>
          <w:tcPr>
            <w:tcW w:type="dxa" w:w="5596"/>
          </w:tcPr>
          <w:p>
            <w:pPr>
              <w:spacing w:after="40"/>
            </w:pPr>
            <w:r/>
            <w:r>
              <w:rPr>
                <w:b w:val="0"/>
                <w:color w:val="3D352B"/>
                <w:sz w:val="18"/>
              </w:rPr>
              <w:t>Agents shall not receive, store or view a person's password, one-time code or other authenticator.</w:t>
            </w:r>
          </w:p>
        </w:tc>
        <w:tc>
          <w:tcPr>
            <w:tcW w:type="dxa" w:w="3280"/>
          </w:tcPr>
          <w:p>
            <w:pPr>
              <w:spacing w:after="40"/>
            </w:pPr>
            <w:r/>
            <w:r>
              <w:rPr>
                <w:b w:val="0"/>
                <w:color w:val="3D352B"/>
                <w:sz w:val="18"/>
              </w:rPr>
              <w:t>800-171 r3 03.05.12 · OWASP §2.2.1, KC6.6</w:t>
            </w:r>
          </w:p>
        </w:tc>
      </w:tr>
      <w:tr>
        <w:trPr>
          <w:cantSplit/>
        </w:trPr>
        <w:tc>
          <w:tcPr>
            <w:tcW w:type="dxa" w:w="772"/>
          </w:tcPr>
          <w:p>
            <w:pPr>
              <w:spacing w:after="40"/>
            </w:pPr>
            <w:r/>
            <w:r>
              <w:rPr>
                <w:b w:val="0"/>
                <w:color w:val="1C1915"/>
                <w:sz w:val="18"/>
              </w:rPr>
              <w:t>5.2</w:t>
            </w:r>
          </w:p>
        </w:tc>
        <w:tc>
          <w:tcPr>
            <w:tcW w:type="dxa" w:w="5596"/>
          </w:tcPr>
          <w:p>
            <w:pPr>
              <w:spacing w:after="40"/>
            </w:pPr>
            <w:r/>
            <w:r>
              <w:rPr>
                <w:b w:val="0"/>
                <w:color w:val="3D352B"/>
                <w:sz w:val="18"/>
              </w:rPr>
              <w:t>Each agent shall be registered in the Agent Access Register before it reaches any system.</w:t>
            </w:r>
          </w:p>
        </w:tc>
        <w:tc>
          <w:tcPr>
            <w:tcW w:type="dxa" w:w="3280"/>
          </w:tcPr>
          <w:p>
            <w:pPr>
              <w:spacing w:after="40"/>
            </w:pPr>
            <w:r/>
            <w:r>
              <w:rPr>
                <w:b w:val="0"/>
                <w:color w:val="3D352B"/>
                <w:sz w:val="18"/>
              </w:rPr>
              <w:t>CoSAI §3.2 · AI RMF GOVERN 1.6 · M-25-21 §3(a)(i)(E)</w:t>
            </w:r>
          </w:p>
        </w:tc>
      </w:tr>
      <w:tr>
        <w:trPr>
          <w:cantSplit/>
        </w:trPr>
        <w:tc>
          <w:tcPr>
            <w:tcW w:type="dxa" w:w="772"/>
          </w:tcPr>
          <w:p>
            <w:pPr>
              <w:spacing w:after="40"/>
            </w:pPr>
            <w:r/>
            <w:r>
              <w:rPr>
                <w:b w:val="0"/>
                <w:color w:val="1C1915"/>
                <w:sz w:val="18"/>
              </w:rPr>
              <w:t>5.3</w:t>
            </w:r>
          </w:p>
        </w:tc>
        <w:tc>
          <w:tcPr>
            <w:tcW w:type="dxa" w:w="5596"/>
          </w:tcPr>
          <w:p>
            <w:pPr>
              <w:spacing w:after="40"/>
            </w:pPr>
            <w:r/>
            <w:r>
              <w:rPr>
                <w:b w:val="0"/>
                <w:color w:val="3D352B"/>
                <w:sz w:val="18"/>
              </w:rPr>
              <w:t>Each grant shall name one agent, one principal, one system and one pattern.</w:t>
            </w:r>
          </w:p>
        </w:tc>
        <w:tc>
          <w:tcPr>
            <w:tcW w:type="dxa" w:w="3280"/>
          </w:tcPr>
          <w:p>
            <w:pPr>
              <w:spacing w:after="40"/>
            </w:pPr>
            <w:r/>
            <w:r>
              <w:rPr>
                <w:b w:val="0"/>
                <w:color w:val="3D352B"/>
                <w:sz w:val="18"/>
              </w:rPr>
              <w:t>800-171 r3 03.05.01 · CoSAI §1.2</w:t>
            </w:r>
          </w:p>
        </w:tc>
      </w:tr>
      <w:tr>
        <w:trPr>
          <w:cantSplit/>
        </w:trPr>
        <w:tc>
          <w:tcPr>
            <w:tcW w:type="dxa" w:w="772"/>
          </w:tcPr>
          <w:p>
            <w:pPr>
              <w:spacing w:after="40"/>
            </w:pPr>
            <w:r/>
            <w:r>
              <w:rPr>
                <w:b w:val="0"/>
                <w:color w:val="1C1915"/>
                <w:sz w:val="18"/>
              </w:rPr>
              <w:t>5.4</w:t>
            </w:r>
          </w:p>
        </w:tc>
        <w:tc>
          <w:tcPr>
            <w:tcW w:type="dxa" w:w="5596"/>
          </w:tcPr>
          <w:p>
            <w:pPr>
              <w:spacing w:after="40"/>
            </w:pPr>
            <w:r/>
            <w:r>
              <w:rPr>
                <w:b w:val="0"/>
                <w:color w:val="3D352B"/>
                <w:sz w:val="18"/>
              </w:rPr>
              <w:t>Agent access shall default to read-only. Write, send, purchase and delete permissions shall be granted separately and listed by name.</w:t>
            </w:r>
          </w:p>
        </w:tc>
        <w:tc>
          <w:tcPr>
            <w:tcW w:type="dxa" w:w="3280"/>
          </w:tcPr>
          <w:p>
            <w:pPr>
              <w:spacing w:after="40"/>
            </w:pPr>
            <w:r/>
            <w:r>
              <w:rPr>
                <w:b w:val="0"/>
                <w:color w:val="3D352B"/>
                <w:sz w:val="18"/>
              </w:rPr>
              <w:t>800-171 r3 03.01.05 · OWASP §4.1.1</w:t>
            </w:r>
          </w:p>
        </w:tc>
      </w:tr>
      <w:tr>
        <w:trPr>
          <w:cantSplit/>
        </w:trPr>
        <w:tc>
          <w:tcPr>
            <w:tcW w:type="dxa" w:w="772"/>
          </w:tcPr>
          <w:p>
            <w:pPr>
              <w:spacing w:after="40"/>
            </w:pPr>
            <w:r/>
            <w:r>
              <w:rPr>
                <w:b w:val="0"/>
                <w:color w:val="1C1915"/>
                <w:sz w:val="18"/>
              </w:rPr>
              <w:t>5.5</w:t>
            </w:r>
          </w:p>
        </w:tc>
        <w:tc>
          <w:tcPr>
            <w:tcW w:type="dxa" w:w="5596"/>
          </w:tcPr>
          <w:p>
            <w:pPr>
              <w:spacing w:after="40"/>
            </w:pPr>
            <w:r/>
            <w:r>
              <w:rPr>
                <w:b w:val="0"/>
                <w:color w:val="3D352B"/>
                <w:sz w:val="18"/>
              </w:rPr>
              <w:t>Every grant shall have an end date. A grant without one is invalid.</w:t>
            </w:r>
          </w:p>
        </w:tc>
        <w:tc>
          <w:tcPr>
            <w:tcW w:type="dxa" w:w="3280"/>
          </w:tcPr>
          <w:p>
            <w:pPr>
              <w:spacing w:after="40"/>
            </w:pPr>
            <w:r/>
            <w:r>
              <w:rPr>
                <w:b w:val="0"/>
                <w:color w:val="3D352B"/>
                <w:sz w:val="18"/>
              </w:rPr>
              <w:t>CoSAI §1.2 · OWASP §3.2.8</w:t>
            </w:r>
          </w:p>
        </w:tc>
      </w:tr>
      <w:tr>
        <w:trPr>
          <w:cantSplit/>
        </w:trPr>
        <w:tc>
          <w:tcPr>
            <w:tcW w:type="dxa" w:w="772"/>
          </w:tcPr>
          <w:p>
            <w:pPr>
              <w:spacing w:after="40"/>
            </w:pPr>
            <w:r/>
            <w:r>
              <w:rPr>
                <w:b w:val="0"/>
                <w:color w:val="1C1915"/>
                <w:sz w:val="18"/>
              </w:rPr>
              <w:t>5.6</w:t>
            </w:r>
          </w:p>
        </w:tc>
        <w:tc>
          <w:tcPr>
            <w:tcW w:type="dxa" w:w="5596"/>
          </w:tcPr>
          <w:p>
            <w:pPr>
              <w:spacing w:after="40"/>
            </w:pPr>
            <w:r/>
            <w:r>
              <w:rPr>
                <w:b w:val="0"/>
                <w:color w:val="3D352B"/>
                <w:sz w:val="18"/>
              </w:rPr>
              <w:t>Data shall reach a model endpoint only when that endpoint is inside the authorized boundary for that class of data.</w:t>
            </w:r>
          </w:p>
        </w:tc>
        <w:tc>
          <w:tcPr>
            <w:tcW w:type="dxa" w:w="3280"/>
          </w:tcPr>
          <w:p>
            <w:pPr>
              <w:spacing w:after="40"/>
            </w:pPr>
            <w:r/>
            <w:r>
              <w:rPr>
                <w:b w:val="0"/>
                <w:color w:val="3D352B"/>
                <w:sz w:val="18"/>
              </w:rPr>
              <w:t>800-171 r3 03.01.03, 03.01.20</w:t>
            </w:r>
          </w:p>
        </w:tc>
      </w:tr>
      <w:tr>
        <w:trPr>
          <w:cantSplit/>
        </w:trPr>
        <w:tc>
          <w:tcPr>
            <w:tcW w:type="dxa" w:w="772"/>
          </w:tcPr>
          <w:p>
            <w:pPr>
              <w:spacing w:after="40"/>
            </w:pPr>
            <w:r/>
            <w:r>
              <w:rPr>
                <w:b w:val="0"/>
                <w:color w:val="1C1915"/>
                <w:sz w:val="18"/>
              </w:rPr>
              <w:t>5.7</w:t>
            </w:r>
          </w:p>
        </w:tc>
        <w:tc>
          <w:tcPr>
            <w:tcW w:type="dxa" w:w="5596"/>
          </w:tcPr>
          <w:p>
            <w:pPr>
              <w:spacing w:after="40"/>
            </w:pPr>
            <w:r/>
            <w:r>
              <w:rPr>
                <w:b w:val="0"/>
                <w:color w:val="3D352B"/>
                <w:sz w:val="18"/>
              </w:rPr>
              <w:t>High-impact actions shall need step-up approval, unless the grant lists the action as pre-approved and the accountable executive accepted that risk.</w:t>
            </w:r>
          </w:p>
        </w:tc>
        <w:tc>
          <w:tcPr>
            <w:tcW w:type="dxa" w:w="3280"/>
          </w:tcPr>
          <w:p>
            <w:pPr>
              <w:spacing w:after="40"/>
            </w:pPr>
            <w:r/>
            <w:r>
              <w:rPr>
                <w:b w:val="0"/>
                <w:color w:val="3D352B"/>
                <w:sz w:val="18"/>
              </w:rPr>
              <w:t>CoSAI §3.4 · M-25-21 §4(b)(v) · AI RMF MAP 3.5</w:t>
            </w:r>
          </w:p>
        </w:tc>
      </w:tr>
      <w:tr>
        <w:trPr>
          <w:cantSplit/>
        </w:trPr>
        <w:tc>
          <w:tcPr>
            <w:tcW w:type="dxa" w:w="772"/>
          </w:tcPr>
          <w:p>
            <w:pPr>
              <w:spacing w:after="40"/>
            </w:pPr>
            <w:r/>
            <w:r>
              <w:rPr>
                <w:b w:val="0"/>
                <w:color w:val="1C1915"/>
                <w:sz w:val="18"/>
              </w:rPr>
              <w:t>5.8</w:t>
            </w:r>
          </w:p>
        </w:tc>
        <w:tc>
          <w:tcPr>
            <w:tcW w:type="dxa" w:w="5596"/>
          </w:tcPr>
          <w:p>
            <w:pPr>
              <w:spacing w:after="40"/>
            </w:pPr>
            <w:r/>
            <w:r>
              <w:rPr>
                <w:b w:val="0"/>
                <w:color w:val="3D352B"/>
                <w:sz w:val="18"/>
              </w:rPr>
              <w:t>For every Pattern B grant, logs shall let a reviewer tell the agent's actions from the principal's.</w:t>
            </w:r>
          </w:p>
        </w:tc>
        <w:tc>
          <w:tcPr>
            <w:tcW w:type="dxa" w:w="3280"/>
          </w:tcPr>
          <w:p>
            <w:pPr>
              <w:spacing w:after="40"/>
            </w:pPr>
            <w:r/>
            <w:r>
              <w:rPr>
                <w:b w:val="0"/>
                <w:color w:val="3D352B"/>
                <w:sz w:val="18"/>
              </w:rPr>
              <w:t>800-171 r3 03.03.02 · CoSAI §1.2 · OWASP §7.2</w:t>
            </w:r>
          </w:p>
        </w:tc>
      </w:tr>
      <w:tr>
        <w:trPr>
          <w:cantSplit/>
        </w:trPr>
        <w:tc>
          <w:tcPr>
            <w:tcW w:type="dxa" w:w="772"/>
          </w:tcPr>
          <w:p>
            <w:pPr>
              <w:spacing w:after="40"/>
            </w:pPr>
            <w:r/>
            <w:r>
              <w:rPr>
                <w:b w:val="0"/>
                <w:color w:val="1C1915"/>
                <w:sz w:val="18"/>
              </w:rPr>
              <w:t>5.9</w:t>
            </w:r>
          </w:p>
        </w:tc>
        <w:tc>
          <w:tcPr>
            <w:tcW w:type="dxa" w:w="5596"/>
          </w:tcPr>
          <w:p>
            <w:pPr>
              <w:spacing w:after="40"/>
            </w:pPr>
            <w:r/>
            <w:r>
              <w:rPr>
                <w:b w:val="0"/>
                <w:color w:val="3D352B"/>
                <w:sz w:val="18"/>
              </w:rPr>
              <w:t>When a required check can't run, access shall be denied.</w:t>
            </w:r>
          </w:p>
        </w:tc>
        <w:tc>
          <w:tcPr>
            <w:tcW w:type="dxa" w:w="3280"/>
          </w:tcPr>
          <w:p>
            <w:pPr>
              <w:spacing w:after="40"/>
            </w:pPr>
            <w:r/>
            <w:r>
              <w:rPr>
                <w:b w:val="0"/>
                <w:color w:val="3D352B"/>
                <w:sz w:val="18"/>
              </w:rPr>
              <w:t>CoSAI §5.1</w:t>
            </w:r>
          </w:p>
        </w:tc>
      </w:tr>
      <w:tr>
        <w:trPr>
          <w:cantSplit/>
        </w:trPr>
        <w:tc>
          <w:tcPr>
            <w:tcW w:type="dxa" w:w="772"/>
          </w:tcPr>
          <w:p>
            <w:pPr>
              <w:spacing w:after="40"/>
            </w:pPr>
            <w:r/>
            <w:r>
              <w:rPr>
                <w:b w:val="0"/>
                <w:color w:val="1C1915"/>
                <w:sz w:val="18"/>
              </w:rPr>
              <w:t>5.10</w:t>
            </w:r>
          </w:p>
        </w:tc>
        <w:tc>
          <w:tcPr>
            <w:tcW w:type="dxa" w:w="5596"/>
          </w:tcPr>
          <w:p>
            <w:pPr>
              <w:spacing w:after="40"/>
            </w:pPr>
            <w:r/>
            <w:r>
              <w:rPr>
                <w:b w:val="0"/>
                <w:color w:val="3D352B"/>
                <w:sz w:val="18"/>
              </w:rPr>
              <w:t>Any role in section 4 shall be able to revoke a grant in one step.</w:t>
            </w:r>
          </w:p>
        </w:tc>
        <w:tc>
          <w:tcPr>
            <w:tcW w:type="dxa" w:w="3280"/>
          </w:tcPr>
          <w:p>
            <w:pPr>
              <w:spacing w:after="40"/>
            </w:pPr>
            <w:r/>
            <w:r>
              <w:rPr>
                <w:b w:val="0"/>
                <w:color w:val="3D352B"/>
                <w:sz w:val="18"/>
              </w:rPr>
              <w:t>AI RMF MANAGE 2.4 · OWASP §4.1.4</w:t>
            </w:r>
          </w:p>
        </w:tc>
      </w:tr>
    </w:tbl>
    <w:p>
      <w:pPr>
        <w:spacing w:after="0"/>
      </w:pPr>
    </w:p>
    <w:p>
      <w:pPr>
        <w:pStyle w:val="Heading1"/>
        <w:pBdr>
          <w:top w:val="single" w:sz="4" w:space="4" w:color="D1C5B0"/>
        </w:pBdr>
      </w:pPr>
      <w:r>
        <w:rPr>
          <w:b w:val="0"/>
          <w:color w:val="573B1D"/>
          <w:sz w:val="16"/>
          <w:spacing w:val="30"/>
        </w:rPr>
        <w:t xml:space="preserve">06  </w:t>
      </w:r>
      <w:r>
        <w:t>Access patterns</w:t>
      </w:r>
    </w:p>
    <w:p>
      <w:r>
        <w:t>Every grant uses exactly one of these patterns. A system can allow different patterns for different agents, and the register records which.</w:t>
      </w:r>
    </w:p>
    <w:tbl>
      <w:tblPr>
        <w:tblW w:type="auto" w:w="0"/>
        <w:tblLook w:firstColumn="1" w:firstRow="1" w:lastColumn="0" w:lastRow="0" w:noHBand="0" w:noVBand="1" w:val="04A0"/>
      </w:tblPr>
      <w:tblGrid>
        <w:gridCol w:w="9648"/>
      </w:tblGrid>
      <w:tr>
        <w:tc>
          <w:tcPr>
            <w:tcW w:type="dxa" w:w="9648"/>
            <w:shd w:val="clear" w:color="auto" w:fill="EBE0C8"/>
            <w:tcMar>
              <w:top w:w="200" w:type="dxa"/>
              <w:bottom w:w="200" w:type="dxa"/>
              <w:left w:w="200" w:type="dxa"/>
              <w:right w:w="200" w:type="dxa"/>
            </w:tcMar>
          </w:tcPr>
          <w:p>
            <w:r>
              <w:rPr>
                <w:rFonts w:ascii="Libre Caslon Display" w:hAnsi="Libre Caslon Display"/>
                <w:b w:val="0"/>
                <w:color w:val="573B1D"/>
                <w:sz w:val="30"/>
              </w:rPr>
              <w:t xml:space="preserve">Pattern A  </w:t>
            </w:r>
            <w:r>
              <w:rPr>
                <w:rFonts w:ascii="Libre Caslon Display" w:hAnsi="Libre Caslon Display"/>
                <w:b w:val="0"/>
                <w:color w:val="1C1915"/>
                <w:sz w:val="28"/>
              </w:rPr>
              <w:t>Brokered sign-in</w:t>
            </w:r>
          </w:p>
          <w:p>
            <w:r>
              <w:rPr>
                <w:b w:val="0"/>
                <w:color w:val="3D352B"/>
                <w:sz w:val="19"/>
              </w:rPr>
              <w:t>The agent signs in as the principal through a credential manager or broker. The principal approves each use on their own device and sees which credential is requested and why. The system and its logs see the principal.</w:t>
            </w:r>
          </w:p>
          <w:p>
            <w:pPr>
              <w:spacing w:before="80"/>
            </w:pPr>
            <w:r>
              <w:rPr>
                <w:b w:val="0"/>
                <w:color w:val="5C4E3C"/>
                <w:sz w:val="13"/>
                <w:spacing w:val="30"/>
              </w:rPr>
              <w:t>USE FOR</w:t>
            </w:r>
          </w:p>
          <w:p>
            <w:pPr>
              <w:pStyle w:val="ListBullet"/>
              <w:spacing w:after="20"/>
            </w:pPr>
            <w:r>
              <w:rPr>
                <w:b w:val="0"/>
                <w:color w:val="3D352B"/>
                <w:sz w:val="18"/>
              </w:rPr>
              <w:t>Accounts and systems that hold no controlled data</w:t>
            </w:r>
          </w:p>
          <w:p>
            <w:pPr>
              <w:pStyle w:val="ListBullet"/>
              <w:spacing w:after="20"/>
            </w:pPr>
            <w:r>
              <w:rPr>
                <w:b w:val="0"/>
                <w:color w:val="3D352B"/>
                <w:sz w:val="18"/>
              </w:rPr>
              <w:t>Read-only work</w:t>
            </w:r>
          </w:p>
          <w:p>
            <w:pPr>
              <w:pStyle w:val="ListBullet"/>
              <w:spacing w:after="20"/>
            </w:pPr>
            <w:r>
              <w:rPr>
                <w:b w:val="0"/>
                <w:color w:val="3D352B"/>
                <w:sz w:val="18"/>
              </w:rPr>
              <w:t>Systems whose owner accepts that logs will show only the principal</w:t>
            </w:r>
          </w:p>
          <w:p>
            <w:pPr>
              <w:spacing w:before="80"/>
            </w:pPr>
            <w:r>
              <w:rPr>
                <w:b w:val="0"/>
                <w:color w:val="5C4E3C"/>
                <w:sz w:val="13"/>
                <w:spacing w:val="30"/>
              </w:rPr>
              <w:t>NEVER FOR</w:t>
            </w:r>
          </w:p>
          <w:p>
            <w:pPr>
              <w:pStyle w:val="ListBullet"/>
              <w:spacing w:after="20"/>
            </w:pPr>
            <w:r>
              <w:rPr>
                <w:b w:val="0"/>
                <w:color w:val="3D352B"/>
                <w:sz w:val="18"/>
              </w:rPr>
              <w:t>Controlled data</w:t>
            </w:r>
          </w:p>
          <w:p>
            <w:pPr>
              <w:pStyle w:val="ListBullet"/>
              <w:spacing w:after="20"/>
            </w:pPr>
            <w:r>
              <w:rPr>
                <w:b w:val="0"/>
                <w:color w:val="3D352B"/>
                <w:sz w:val="18"/>
              </w:rPr>
              <w:t>Any system whose audit records must identify the agent</w:t>
            </w:r>
          </w:p>
          <w:p>
            <w:pPr>
              <w:pStyle w:val="ListBullet"/>
              <w:spacing w:after="20"/>
            </w:pPr>
            <w:r>
              <w:rPr>
                <w:b w:val="0"/>
                <w:color w:val="3D352B"/>
                <w:sz w:val="18"/>
              </w:rPr>
              <w:t>High-impact actions</w:t>
            </w:r>
          </w:p>
          <w:p>
            <w:pPr>
              <w:spacing w:before="80"/>
            </w:pPr>
            <w:r>
              <w:rPr>
                <w:b w:val="0"/>
                <w:color w:val="5C4E3C"/>
                <w:sz w:val="13"/>
                <w:spacing w:val="30"/>
              </w:rPr>
              <w:t>REQUIRED CONTROLS</w:t>
            </w:r>
          </w:p>
          <w:p>
            <w:pPr>
              <w:pStyle w:val="ListBullet"/>
              <w:spacing w:after="20"/>
            </w:pPr>
            <w:r>
              <w:rPr>
                <w:b w:val="0"/>
                <w:color w:val="3D352B"/>
                <w:sz w:val="18"/>
              </w:rPr>
              <w:t>Approval for each use, showing the credential and the reason</w:t>
            </w:r>
          </w:p>
          <w:p>
            <w:pPr>
              <w:pStyle w:val="ListBullet"/>
              <w:spacing w:after="20"/>
            </w:pPr>
            <w:r>
              <w:rPr>
                <w:b w:val="0"/>
                <w:color w:val="3D352B"/>
                <w:sz w:val="18"/>
              </w:rPr>
              <w:t>The agent never receives the credential</w:t>
            </w:r>
          </w:p>
          <w:p>
            <w:pPr>
              <w:pStyle w:val="ListBullet"/>
              <w:spacing w:after="20"/>
            </w:pPr>
            <w:r>
              <w:rPr>
                <w:b w:val="0"/>
                <w:color w:val="3D352B"/>
                <w:sz w:val="18"/>
              </w:rPr>
              <w:t>The session ends when the task ends (800-171 r3 03.01.11)</w:t>
            </w:r>
          </w:p>
          <w:p>
            <w:pPr>
              <w:pStyle w:val="ListBullet"/>
              <w:spacing w:after="20"/>
            </w:pPr>
            <w:r>
              <w:rPr>
                <w:b w:val="0"/>
                <w:color w:val="3D352B"/>
                <w:sz w:val="18"/>
              </w:rPr>
              <w:t>The agent keeps no session between tasks (OWASP §5.5)</w:t>
            </w:r>
          </w:p>
        </w:tc>
      </w:tr>
    </w:tbl>
    <w:p>
      <w:pPr>
        <w:spacing w:after="0"/>
      </w:pPr>
    </w:p>
    <w:tbl>
      <w:tblPr>
        <w:tblW w:type="auto" w:w="0"/>
        <w:tblLook w:firstColumn="1" w:firstRow="1" w:lastColumn="0" w:lastRow="0" w:noHBand="0" w:noVBand="1" w:val="04A0"/>
      </w:tblPr>
      <w:tblGrid>
        <w:gridCol w:w="9648"/>
      </w:tblGrid>
      <w:tr>
        <w:tc>
          <w:tcPr>
            <w:tcW w:type="dxa" w:w="9648"/>
            <w:shd w:val="clear" w:color="auto" w:fill="EBE0C8"/>
            <w:tcMar>
              <w:top w:w="200" w:type="dxa"/>
              <w:bottom w:w="200" w:type="dxa"/>
              <w:left w:w="200" w:type="dxa"/>
              <w:right w:w="200" w:type="dxa"/>
            </w:tcMar>
          </w:tcPr>
          <w:p>
            <w:r>
              <w:rPr>
                <w:rFonts w:ascii="Libre Caslon Display" w:hAnsi="Libre Caslon Display"/>
                <w:b w:val="0"/>
                <w:color w:val="573B1D"/>
                <w:sz w:val="30"/>
              </w:rPr>
              <w:t xml:space="preserve">Pattern B  </w:t>
            </w:r>
            <w:r>
              <w:rPr>
                <w:rFonts w:ascii="Libre Caslon Display" w:hAnsi="Libre Caslon Display"/>
                <w:b w:val="0"/>
                <w:color w:val="1C1915"/>
                <w:sz w:val="28"/>
              </w:rPr>
              <w:t>Delegated identity</w:t>
            </w:r>
          </w:p>
          <w:p>
            <w:r>
              <w:rPr>
                <w:b w:val="0"/>
                <w:color w:val="3D352B"/>
                <w:sz w:val="19"/>
              </w:rPr>
              <w:t>The agent has its own identity in [identity provider]. For each task it receives a short-lived token that names the agent as actor and the principal as subject, with scopes no wider than the task needs and never wider than the principal's own.</w:t>
            </w:r>
          </w:p>
          <w:p>
            <w:pPr>
              <w:spacing w:before="80"/>
            </w:pPr>
            <w:r>
              <w:rPr>
                <w:b w:val="0"/>
                <w:color w:val="5C4E3C"/>
                <w:sz w:val="13"/>
                <w:spacing w:val="30"/>
              </w:rPr>
              <w:t>USE FOR</w:t>
            </w:r>
          </w:p>
          <w:p>
            <w:pPr>
              <w:pStyle w:val="ListBullet"/>
              <w:spacing w:after="20"/>
            </w:pPr>
            <w:r>
              <w:rPr>
                <w:b w:val="0"/>
                <w:color w:val="3D352B"/>
                <w:sz w:val="18"/>
              </w:rPr>
              <w:t>Organizational systems</w:t>
            </w:r>
          </w:p>
          <w:p>
            <w:pPr>
              <w:pStyle w:val="ListBullet"/>
              <w:spacing w:after="20"/>
            </w:pPr>
            <w:r>
              <w:rPr>
                <w:b w:val="0"/>
                <w:color w:val="3D352B"/>
                <w:sz w:val="18"/>
              </w:rPr>
              <w:t>Anything that writes, sends, buys or deletes</w:t>
            </w:r>
          </w:p>
          <w:p>
            <w:pPr>
              <w:pStyle w:val="ListBullet"/>
              <w:spacing w:after="20"/>
            </w:pPr>
            <w:r>
              <w:rPr>
                <w:b w:val="0"/>
                <w:color w:val="3D352B"/>
                <w:sz w:val="18"/>
              </w:rPr>
              <w:t>Systems assessed for attribution</w:t>
            </w:r>
          </w:p>
          <w:p>
            <w:pPr>
              <w:spacing w:before="80"/>
            </w:pPr>
            <w:r>
              <w:rPr>
                <w:b w:val="0"/>
                <w:color w:val="5C4E3C"/>
                <w:sz w:val="13"/>
                <w:spacing w:val="30"/>
              </w:rPr>
              <w:t>NEVER FOR</w:t>
            </w:r>
          </w:p>
          <w:p>
            <w:pPr>
              <w:pStyle w:val="ListBullet"/>
              <w:spacing w:after="20"/>
            </w:pPr>
            <w:r>
              <w:rPr>
                <w:b w:val="0"/>
                <w:color w:val="3D352B"/>
                <w:sz w:val="18"/>
              </w:rPr>
              <w:t>Controlled data whose model endpoint sits outside the authorized boundary</w:t>
            </w:r>
          </w:p>
          <w:p>
            <w:pPr>
              <w:spacing w:before="80"/>
            </w:pPr>
            <w:r>
              <w:rPr>
                <w:b w:val="0"/>
                <w:color w:val="5C4E3C"/>
                <w:sz w:val="13"/>
                <w:spacing w:val="30"/>
              </w:rPr>
              <w:t>REQUIRED CONTROLS</w:t>
            </w:r>
          </w:p>
          <w:p>
            <w:pPr>
              <w:pStyle w:val="ListBullet"/>
              <w:spacing w:after="20"/>
            </w:pPr>
            <w:r>
              <w:rPr>
                <w:b w:val="0"/>
                <w:color w:val="3D352B"/>
                <w:sz w:val="18"/>
              </w:rPr>
              <w:t>A distinct identifier for the agent (800-171 r3 03.05.05)</w:t>
            </w:r>
          </w:p>
          <w:p>
            <w:pPr>
              <w:pStyle w:val="ListBullet"/>
              <w:spacing w:after="20"/>
            </w:pPr>
            <w:r>
              <w:rPr>
                <w:b w:val="0"/>
                <w:color w:val="3D352B"/>
                <w:sz w:val="18"/>
              </w:rPr>
              <w:t>Tokens carry both actor and subject (CoSAI appendix on token claims; RFC 8693)</w:t>
            </w:r>
          </w:p>
          <w:p>
            <w:pPr>
              <w:pStyle w:val="ListBullet"/>
              <w:spacing w:after="20"/>
            </w:pPr>
            <w:r>
              <w:rPr>
                <w:b w:val="0"/>
                <w:color w:val="3D352B"/>
                <w:sz w:val="18"/>
              </w:rPr>
              <w:t>Scopes narrow at each hop and never expand (CoSAI §3.4)</w:t>
            </w:r>
          </w:p>
          <w:p>
            <w:pPr>
              <w:pStyle w:val="ListBullet"/>
              <w:spacing w:after="20"/>
            </w:pPr>
            <w:r>
              <w:rPr>
                <w:b w:val="0"/>
                <w:color w:val="3D352B"/>
                <w:sz w:val="18"/>
              </w:rPr>
              <w:t>Token lifetime of [minutes]</w:t>
            </w:r>
          </w:p>
          <w:p>
            <w:pPr>
              <w:pStyle w:val="ListBullet"/>
              <w:spacing w:after="20"/>
            </w:pPr>
            <w:r>
              <w:rPr>
                <w:b w:val="0"/>
                <w:color w:val="3D352B"/>
                <w:sz w:val="18"/>
              </w:rPr>
              <w:t>Logging as in section 9</w:t>
            </w:r>
          </w:p>
          <w:p>
            <w:pPr>
              <w:pStyle w:val="ListBullet"/>
              <w:spacing w:after="20"/>
            </w:pPr>
            <w:r>
              <w:rPr>
                <w:b w:val="0"/>
                <w:color w:val="3D352B"/>
                <w:sz w:val="18"/>
              </w:rPr>
              <w:t>Step-up approval for high-impact actions</w:t>
            </w:r>
          </w:p>
          <w:p>
            <w:pPr>
              <w:pStyle w:val="ListBullet"/>
              <w:spacing w:after="20"/>
            </w:pPr>
            <w:r>
              <w:rPr>
                <w:b w:val="0"/>
                <w:color w:val="3D352B"/>
                <w:sz w:val="18"/>
              </w:rPr>
              <w:t>Revoking the delegation cuts off everything downstream</w:t>
            </w:r>
          </w:p>
        </w:tc>
      </w:tr>
    </w:tbl>
    <w:p>
      <w:pPr>
        <w:spacing w:after="0"/>
      </w:pPr>
    </w:p>
    <w:tbl>
      <w:tblPr>
        <w:tblW w:type="auto" w:w="0"/>
        <w:tblLook w:firstColumn="1" w:firstRow="1" w:lastColumn="0" w:lastRow="0" w:noHBand="0" w:noVBand="1" w:val="04A0"/>
      </w:tblPr>
      <w:tblGrid>
        <w:gridCol w:w="9648"/>
      </w:tblGrid>
      <w:tr>
        <w:tc>
          <w:tcPr>
            <w:tcW w:type="dxa" w:w="9648"/>
            <w:shd w:val="clear" w:color="auto" w:fill="EBE0C8"/>
            <w:tcMar>
              <w:top w:w="200" w:type="dxa"/>
              <w:bottom w:w="200" w:type="dxa"/>
              <w:left w:w="200" w:type="dxa"/>
              <w:right w:w="200" w:type="dxa"/>
            </w:tcMar>
          </w:tcPr>
          <w:p>
            <w:r>
              <w:rPr>
                <w:rFonts w:ascii="Libre Caslon Display" w:hAnsi="Libre Caslon Display"/>
                <w:b w:val="0"/>
                <w:color w:val="573B1D"/>
                <w:sz w:val="30"/>
              </w:rPr>
              <w:t xml:space="preserve">Pattern C  </w:t>
            </w:r>
            <w:r>
              <w:rPr>
                <w:rFonts w:ascii="Libre Caslon Display" w:hAnsi="Libre Caslon Display"/>
                <w:b w:val="0"/>
                <w:color w:val="1C1915"/>
                <w:sz w:val="28"/>
              </w:rPr>
              <w:t>No agent access</w:t>
            </w:r>
          </w:p>
          <w:p>
            <w:r>
              <w:rPr>
                <w:b w:val="0"/>
                <w:color w:val="3D352B"/>
                <w:sz w:val="19"/>
              </w:rPr>
              <w:t>The system is closed to agents.</w:t>
            </w:r>
          </w:p>
          <w:p>
            <w:pPr>
              <w:spacing w:before="80"/>
            </w:pPr>
            <w:r>
              <w:rPr>
                <w:b w:val="0"/>
                <w:color w:val="5C4E3C"/>
                <w:sz w:val="13"/>
                <w:spacing w:val="30"/>
              </w:rPr>
              <w:t>USE FOR</w:t>
            </w:r>
          </w:p>
          <w:p>
            <w:pPr>
              <w:pStyle w:val="ListBullet"/>
              <w:spacing w:after="20"/>
            </w:pPr>
            <w:r>
              <w:rPr>
                <w:b w:val="0"/>
                <w:color w:val="3D352B"/>
                <w:sz w:val="18"/>
              </w:rPr>
              <w:t>Controlled data, until the agent and its model endpoint are both inside the authorized boundary and documented in [system security plan]</w:t>
            </w:r>
          </w:p>
          <w:p>
            <w:pPr>
              <w:pStyle w:val="ListBullet"/>
              <w:spacing w:after="20"/>
            </w:pPr>
            <w:r>
              <w:rPr>
                <w:b w:val="0"/>
                <w:color w:val="3D352B"/>
                <w:sz w:val="18"/>
              </w:rPr>
              <w:t>Any system whose owner has not approved a grant</w:t>
            </w:r>
          </w:p>
          <w:p>
            <w:pPr>
              <w:spacing w:before="80"/>
            </w:pPr>
            <w:r>
              <w:rPr>
                <w:b w:val="0"/>
                <w:color w:val="5C4E3C"/>
                <w:sz w:val="13"/>
                <w:spacing w:val="30"/>
              </w:rPr>
              <w:t>REQUIRED CONTROLS</w:t>
            </w:r>
          </w:p>
          <w:p>
            <w:pPr>
              <w:pStyle w:val="ListBullet"/>
              <w:spacing w:after="20"/>
            </w:pPr>
            <w:r>
              <w:rPr>
                <w:b w:val="0"/>
                <w:color w:val="3D352B"/>
                <w:sz w:val="18"/>
              </w:rPr>
              <w:t>The system owner marks the system as closed in the register</w:t>
            </w:r>
          </w:p>
          <w:p>
            <w:pPr>
              <w:pStyle w:val="ListBullet"/>
              <w:spacing w:after="20"/>
            </w:pPr>
            <w:r>
              <w:rPr>
                <w:b w:val="0"/>
                <w:color w:val="3D352B"/>
                <w:sz w:val="18"/>
              </w:rPr>
              <w:t>A technical block where the system supports one, such as [conditional access rule]</w:t>
            </w:r>
          </w:p>
        </w:tc>
      </w:tr>
    </w:tbl>
    <w:p>
      <w:pPr>
        <w:spacing w:after="0"/>
      </w:pPr>
    </w:p>
    <w:p>
      <w:pPr>
        <w:pStyle w:val="Heading1"/>
        <w:pBdr>
          <w:top w:val="single" w:sz="4" w:space="4" w:color="D1C5B0"/>
        </w:pBdr>
      </w:pPr>
      <w:r>
        <w:rPr>
          <w:b w:val="0"/>
          <w:color w:val="573B1D"/>
          <w:sz w:val="16"/>
          <w:spacing w:val="30"/>
        </w:rPr>
        <w:t xml:space="preserve">07  </w:t>
      </w:r>
      <w:r>
        <w:t>Choosing a pattern</w:t>
      </w:r>
    </w:p>
    <w:p>
      <w:r>
        <w:t>Answer these six questions in the grant record before access starts. Stop at the first answer that settles the pattern.</w:t>
      </w:r>
    </w:p>
    <w:tbl>
      <w:tblPr>
        <w:tblW w:type="auto" w:w="0"/>
        <w:jc w:val="left"/>
        <w:tblLayout w:type="fixed"/>
        <w:tblLook w:firstColumn="1" w:firstRow="1" w:lastColumn="0" w:lastRow="0" w:noHBand="0" w:noVBand="1" w:val="04A0"/>
        <w:tblBorders>
          <w:top w:val="nil"/>
          <w:left w:val="nil"/>
          <w:right w:val="nil"/>
          <w:insideV w:val="nil"/>
          <w:bottom w:val="single" w:sz="4" w:color="D1C5B0"/>
          <w:insideH w:val="single" w:sz="4" w:color="D1C5B0"/>
        </w:tblBorders>
        <w:tblCellMar>
          <w:top w:w="70" w:type="dxa"/>
          <w:bottom w:w="70" w:type="dxa"/>
          <w:left w:w="0" w:type="dxa"/>
          <w:right w:w="110" w:type="dxa"/>
        </w:tblCellMar>
      </w:tblPr>
      <w:tblGrid>
        <w:gridCol w:w="4052"/>
        <w:gridCol w:w="2508"/>
        <w:gridCol w:w="3087"/>
      </w:tblGrid>
      <w:tr>
        <w:trPr>
          <w:tblHeader/>
          <w:cantSplit/>
        </w:trPr>
        <w:tc>
          <w:tcPr>
            <w:tcW w:type="dxa" w:w="4052"/>
          </w:tcPr>
          <w:p>
            <w:pPr>
              <w:spacing w:after="40"/>
            </w:pPr>
            <w:r/>
            <w:r>
              <w:rPr>
                <w:b w:val="0"/>
                <w:color w:val="5C4E3C"/>
                <w:sz w:val="13"/>
                <w:spacing w:val="30"/>
              </w:rPr>
              <w:t>QUESTION</w:t>
            </w:r>
          </w:p>
        </w:tc>
        <w:tc>
          <w:tcPr>
            <w:tcW w:type="dxa" w:w="2508"/>
          </w:tcPr>
          <w:p>
            <w:pPr>
              <w:spacing w:after="40"/>
            </w:pPr>
            <w:r/>
            <w:r>
              <w:rPr>
                <w:b w:val="0"/>
                <w:color w:val="5C4E3C"/>
                <w:sz w:val="13"/>
                <w:spacing w:val="30"/>
              </w:rPr>
              <w:t>IF THE ANSWER IS</w:t>
            </w:r>
          </w:p>
        </w:tc>
        <w:tc>
          <w:tcPr>
            <w:tcW w:type="dxa" w:w="3087"/>
          </w:tcPr>
          <w:p>
            <w:pPr>
              <w:spacing w:after="40"/>
            </w:pPr>
            <w:r/>
            <w:r>
              <w:rPr>
                <w:b w:val="0"/>
                <w:color w:val="5C4E3C"/>
                <w:sz w:val="13"/>
                <w:spacing w:val="30"/>
              </w:rPr>
              <w:t>THEN</w:t>
            </w:r>
          </w:p>
        </w:tc>
      </w:tr>
      <w:tr>
        <w:trPr>
          <w:cantSplit/>
        </w:trPr>
        <w:tc>
          <w:tcPr>
            <w:tcW w:type="dxa" w:w="4052"/>
          </w:tcPr>
          <w:p>
            <w:pPr>
              <w:spacing w:after="40"/>
            </w:pPr>
            <w:r/>
            <w:r>
              <w:rPr>
                <w:b w:val="0"/>
                <w:color w:val="1C1915"/>
                <w:sz w:val="18"/>
              </w:rPr>
              <w:t>1. Where does the model run, and is it inside the authorized boundary for this data?</w:t>
            </w:r>
          </w:p>
        </w:tc>
        <w:tc>
          <w:tcPr>
            <w:tcW w:type="dxa" w:w="2508"/>
          </w:tcPr>
          <w:p>
            <w:pPr>
              <w:spacing w:after="40"/>
            </w:pPr>
            <w:r/>
            <w:r>
              <w:rPr>
                <w:b w:val="0"/>
                <w:color w:val="3D352B"/>
                <w:sz w:val="18"/>
              </w:rPr>
              <w:t>Outside, and the data is controlled</w:t>
            </w:r>
          </w:p>
        </w:tc>
        <w:tc>
          <w:tcPr>
            <w:tcW w:type="dxa" w:w="3087"/>
          </w:tcPr>
          <w:p>
            <w:pPr>
              <w:spacing w:after="40"/>
            </w:pPr>
            <w:r/>
            <w:r>
              <w:rPr>
                <w:b w:val="0"/>
                <w:color w:val="3D352B"/>
                <w:sz w:val="18"/>
              </w:rPr>
              <w:t>Pattern C. Stop.</w:t>
            </w:r>
          </w:p>
        </w:tc>
      </w:tr>
      <w:tr>
        <w:trPr>
          <w:cantSplit/>
        </w:trPr>
        <w:tc>
          <w:tcPr>
            <w:tcW w:type="dxa" w:w="4052"/>
          </w:tcPr>
          <w:p>
            <w:pPr>
              <w:spacing w:after="40"/>
            </w:pPr>
            <w:r/>
            <w:r>
              <w:rPr>
                <w:b w:val="0"/>
                <w:color w:val="1C1915"/>
                <w:sz w:val="18"/>
              </w:rPr>
              <w:t>2. Will the agent only read?</w:t>
            </w:r>
          </w:p>
        </w:tc>
        <w:tc>
          <w:tcPr>
            <w:tcW w:type="dxa" w:w="2508"/>
          </w:tcPr>
          <w:p>
            <w:pPr>
              <w:spacing w:after="40"/>
            </w:pPr>
            <w:r/>
            <w:r>
              <w:rPr>
                <w:b w:val="0"/>
                <w:color w:val="3D352B"/>
                <w:sz w:val="18"/>
              </w:rPr>
              <w:t>It writes, sends, buys or deletes</w:t>
            </w:r>
          </w:p>
        </w:tc>
        <w:tc>
          <w:tcPr>
            <w:tcW w:type="dxa" w:w="3087"/>
          </w:tcPr>
          <w:p>
            <w:pPr>
              <w:spacing w:after="40"/>
            </w:pPr>
            <w:r/>
            <w:r>
              <w:rPr>
                <w:b w:val="0"/>
                <w:color w:val="3D352B"/>
                <w:sz w:val="18"/>
              </w:rPr>
              <w:t>Pattern B.</w:t>
            </w:r>
          </w:p>
        </w:tc>
      </w:tr>
      <w:tr>
        <w:trPr>
          <w:cantSplit/>
        </w:trPr>
        <w:tc>
          <w:tcPr>
            <w:tcW w:type="dxa" w:w="4052"/>
          </w:tcPr>
          <w:p>
            <w:pPr>
              <w:spacing w:after="40"/>
            </w:pPr>
            <w:r/>
            <w:r>
              <w:rPr>
                <w:b w:val="0"/>
                <w:color w:val="1C1915"/>
                <w:sz w:val="18"/>
              </w:rPr>
              <w:t>3. Must the log identify the agent apart from the principal?</w:t>
            </w:r>
          </w:p>
        </w:tc>
        <w:tc>
          <w:tcPr>
            <w:tcW w:type="dxa" w:w="2508"/>
          </w:tcPr>
          <w:p>
            <w:pPr>
              <w:spacing w:after="40"/>
            </w:pPr>
            <w:r/>
            <w:r>
              <w:rPr>
                <w:b w:val="0"/>
                <w:color w:val="3D352B"/>
                <w:sz w:val="18"/>
              </w:rPr>
              <w:t>Yes</w:t>
            </w:r>
          </w:p>
        </w:tc>
        <w:tc>
          <w:tcPr>
            <w:tcW w:type="dxa" w:w="3087"/>
          </w:tcPr>
          <w:p>
            <w:pPr>
              <w:spacing w:after="40"/>
            </w:pPr>
            <w:r/>
            <w:r>
              <w:rPr>
                <w:b w:val="0"/>
                <w:color w:val="3D352B"/>
                <w:sz w:val="18"/>
              </w:rPr>
              <w:t>Pattern B.</w:t>
            </w:r>
          </w:p>
        </w:tc>
      </w:tr>
      <w:tr>
        <w:trPr>
          <w:cantSplit/>
        </w:trPr>
        <w:tc>
          <w:tcPr>
            <w:tcW w:type="dxa" w:w="4052"/>
          </w:tcPr>
          <w:p>
            <w:pPr>
              <w:spacing w:after="40"/>
            </w:pPr>
            <w:r/>
            <w:r>
              <w:rPr>
                <w:b w:val="0"/>
                <w:color w:val="1C1915"/>
                <w:sz w:val="18"/>
              </w:rPr>
              <w:t>4. Which scopes does it need, and which are excluded?</w:t>
            </w:r>
          </w:p>
        </w:tc>
        <w:tc>
          <w:tcPr>
            <w:tcW w:type="dxa" w:w="2508"/>
          </w:tcPr>
          <w:p>
            <w:pPr>
              <w:spacing w:after="40"/>
            </w:pPr>
            <w:r/>
            <w:r>
              <w:rPr>
                <w:b w:val="0"/>
                <w:color w:val="3D352B"/>
                <w:sz w:val="18"/>
              </w:rPr>
              <w:t>Any answer</w:t>
            </w:r>
          </w:p>
        </w:tc>
        <w:tc>
          <w:tcPr>
            <w:tcW w:type="dxa" w:w="3087"/>
          </w:tcPr>
          <w:p>
            <w:pPr>
              <w:spacing w:after="40"/>
            </w:pPr>
            <w:r/>
            <w:r>
              <w:rPr>
                <w:b w:val="0"/>
                <w:color w:val="3D352B"/>
                <w:sz w:val="18"/>
              </w:rPr>
              <w:t>Record both. Anything not listed is denied.</w:t>
            </w:r>
          </w:p>
        </w:tc>
      </w:tr>
      <w:tr>
        <w:trPr>
          <w:cantSplit/>
        </w:trPr>
        <w:tc>
          <w:tcPr>
            <w:tcW w:type="dxa" w:w="4052"/>
          </w:tcPr>
          <w:p>
            <w:pPr>
              <w:spacing w:after="40"/>
            </w:pPr>
            <w:r/>
            <w:r>
              <w:rPr>
                <w:b w:val="0"/>
                <w:color w:val="1C1915"/>
                <w:sz w:val="18"/>
              </w:rPr>
              <w:t>5. When does access end, and who revokes it?</w:t>
            </w:r>
          </w:p>
        </w:tc>
        <w:tc>
          <w:tcPr>
            <w:tcW w:type="dxa" w:w="2508"/>
          </w:tcPr>
          <w:p>
            <w:pPr>
              <w:spacing w:after="40"/>
            </w:pPr>
            <w:r/>
            <w:r>
              <w:rPr>
                <w:b w:val="0"/>
                <w:color w:val="3D352B"/>
                <w:sz w:val="18"/>
              </w:rPr>
              <w:t>Any answer</w:t>
            </w:r>
          </w:p>
        </w:tc>
        <w:tc>
          <w:tcPr>
            <w:tcW w:type="dxa" w:w="3087"/>
          </w:tcPr>
          <w:p>
            <w:pPr>
              <w:spacing w:after="40"/>
            </w:pPr>
            <w:r/>
            <w:r>
              <w:rPr>
                <w:b w:val="0"/>
                <w:color w:val="3D352B"/>
                <w:sz w:val="18"/>
              </w:rPr>
              <w:t>Record the end date and the steps. No end date, no grant.</w:t>
            </w:r>
          </w:p>
        </w:tc>
      </w:tr>
      <w:tr>
        <w:trPr>
          <w:cantSplit/>
        </w:trPr>
        <w:tc>
          <w:tcPr>
            <w:tcW w:type="dxa" w:w="4052"/>
          </w:tcPr>
          <w:p>
            <w:pPr>
              <w:spacing w:after="40"/>
            </w:pPr>
            <w:r/>
            <w:r>
              <w:rPr>
                <w:b w:val="0"/>
                <w:color w:val="1C1915"/>
                <w:sz w:val="18"/>
              </w:rPr>
              <w:t>6. Which actions need a person every time?</w:t>
            </w:r>
          </w:p>
        </w:tc>
        <w:tc>
          <w:tcPr>
            <w:tcW w:type="dxa" w:w="2508"/>
          </w:tcPr>
          <w:p>
            <w:pPr>
              <w:spacing w:after="40"/>
            </w:pPr>
            <w:r/>
            <w:r>
              <w:rPr>
                <w:b w:val="0"/>
                <w:color w:val="3D352B"/>
                <w:sz w:val="18"/>
              </w:rPr>
              <w:t>Any answer</w:t>
            </w:r>
          </w:p>
        </w:tc>
        <w:tc>
          <w:tcPr>
            <w:tcW w:type="dxa" w:w="3087"/>
          </w:tcPr>
          <w:p>
            <w:pPr>
              <w:spacing w:after="40"/>
            </w:pPr>
            <w:r/>
            <w:r>
              <w:rPr>
                <w:b w:val="0"/>
                <w:color w:val="3D352B"/>
                <w:sz w:val="18"/>
              </w:rPr>
              <w:t>List them. Keep the list to high-impact actions so each prompt still gets read (OWASP §5.6).</w:t>
            </w:r>
          </w:p>
        </w:tc>
      </w:tr>
    </w:tbl>
    <w:p>
      <w:pPr>
        <w:spacing w:after="0"/>
      </w:pPr>
    </w:p>
    <w:p>
      <w:r>
        <w:t>If questions 1 to 3 don't require Pattern B or C and the system owner agrees, Pattern A is allowed.</w:t>
      </w:r>
    </w:p>
    <w:p>
      <w:pPr>
        <w:pStyle w:val="Heading1"/>
        <w:pBdr>
          <w:top w:val="single" w:sz="4" w:space="4" w:color="D1C5B0"/>
        </w:pBdr>
      </w:pPr>
      <w:r>
        <w:rPr>
          <w:b w:val="0"/>
          <w:color w:val="573B1D"/>
          <w:sz w:val="16"/>
          <w:spacing w:val="30"/>
        </w:rPr>
        <w:t xml:space="preserve">08  </w:t>
      </w:r>
      <w:r>
        <w:t>Grant record</w:t>
      </w:r>
    </w:p>
    <w:p>
      <w:r>
        <w:t>The Agent Access Register holds one row per grant with these fields.</w:t>
      </w:r>
    </w:p>
    <w:tbl>
      <w:tblPr>
        <w:tblW w:type="auto" w:w="0"/>
        <w:jc w:val="left"/>
        <w:tblLayout w:type="fixed"/>
        <w:tblLook w:firstColumn="1" w:firstRow="1" w:lastColumn="0" w:lastRow="0" w:noHBand="0" w:noVBand="1" w:val="04A0"/>
        <w:tblBorders>
          <w:top w:val="nil"/>
          <w:left w:val="nil"/>
          <w:right w:val="nil"/>
          <w:insideV w:val="nil"/>
          <w:bottom w:val="single" w:sz="4" w:color="D1C5B0"/>
          <w:insideH w:val="single" w:sz="4" w:color="D1C5B0"/>
        </w:tblBorders>
        <w:tblCellMar>
          <w:top w:w="70" w:type="dxa"/>
          <w:bottom w:w="70" w:type="dxa"/>
          <w:left w:w="0" w:type="dxa"/>
          <w:right w:w="110" w:type="dxa"/>
        </w:tblCellMar>
      </w:tblPr>
      <w:tblGrid>
        <w:gridCol w:w="2894"/>
        <w:gridCol w:w="6754"/>
      </w:tblGrid>
      <w:tr>
        <w:trPr>
          <w:tblHeader/>
          <w:cantSplit/>
        </w:trPr>
        <w:tc>
          <w:tcPr>
            <w:tcW w:type="dxa" w:w="2894"/>
          </w:tcPr>
          <w:p>
            <w:pPr>
              <w:spacing w:after="40"/>
            </w:pPr>
            <w:r/>
            <w:r>
              <w:rPr>
                <w:b w:val="0"/>
                <w:color w:val="5C4E3C"/>
                <w:sz w:val="13"/>
                <w:spacing w:val="30"/>
              </w:rPr>
              <w:t>FIELD</w:t>
            </w:r>
          </w:p>
        </w:tc>
        <w:tc>
          <w:tcPr>
            <w:tcW w:type="dxa" w:w="6754"/>
          </w:tcPr>
          <w:p>
            <w:pPr>
              <w:spacing w:after="40"/>
            </w:pPr>
            <w:r/>
            <w:r>
              <w:rPr>
                <w:b w:val="0"/>
                <w:color w:val="5C4E3C"/>
                <w:sz w:val="13"/>
                <w:spacing w:val="30"/>
              </w:rPr>
              <w:t>WHAT TO RECORD</w:t>
            </w:r>
          </w:p>
        </w:tc>
      </w:tr>
      <w:tr>
        <w:trPr>
          <w:cantSplit/>
        </w:trPr>
        <w:tc>
          <w:tcPr>
            <w:tcW w:type="dxa" w:w="2894"/>
          </w:tcPr>
          <w:p>
            <w:pPr>
              <w:spacing w:after="40"/>
            </w:pPr>
            <w:r/>
            <w:r>
              <w:rPr>
                <w:b w:val="0"/>
                <w:color w:val="1C1915"/>
                <w:sz w:val="18"/>
              </w:rPr>
              <w:t>Grant ID</w:t>
            </w:r>
          </w:p>
        </w:tc>
        <w:tc>
          <w:tcPr>
            <w:tcW w:type="dxa" w:w="6754"/>
          </w:tcPr>
          <w:p>
            <w:pPr>
              <w:spacing w:after="40"/>
            </w:pPr>
            <w:r/>
            <w:r>
              <w:rPr>
                <w:b w:val="0"/>
                <w:color w:val="3D352B"/>
                <w:sz w:val="18"/>
              </w:rPr>
              <w:t>A unique ID, never reused.</w:t>
            </w:r>
          </w:p>
        </w:tc>
      </w:tr>
      <w:tr>
        <w:trPr>
          <w:cantSplit/>
        </w:trPr>
        <w:tc>
          <w:tcPr>
            <w:tcW w:type="dxa" w:w="2894"/>
          </w:tcPr>
          <w:p>
            <w:pPr>
              <w:spacing w:after="40"/>
            </w:pPr>
            <w:r/>
            <w:r>
              <w:rPr>
                <w:b w:val="0"/>
                <w:color w:val="1C1915"/>
                <w:sz w:val="18"/>
              </w:rPr>
              <w:t>Agent and agent owner</w:t>
            </w:r>
          </w:p>
        </w:tc>
        <w:tc>
          <w:tcPr>
            <w:tcW w:type="dxa" w:w="6754"/>
          </w:tcPr>
          <w:p>
            <w:pPr>
              <w:spacing w:after="40"/>
            </w:pPr>
            <w:r/>
            <w:r>
              <w:rPr>
                <w:b w:val="0"/>
                <w:color w:val="3D352B"/>
                <w:sz w:val="18"/>
              </w:rPr>
              <w:t>The agent's name and identifier, and the person responsible for it.</w:t>
            </w:r>
          </w:p>
        </w:tc>
      </w:tr>
      <w:tr>
        <w:trPr>
          <w:cantSplit/>
        </w:trPr>
        <w:tc>
          <w:tcPr>
            <w:tcW w:type="dxa" w:w="2894"/>
          </w:tcPr>
          <w:p>
            <w:pPr>
              <w:spacing w:after="40"/>
            </w:pPr>
            <w:r/>
            <w:r>
              <w:rPr>
                <w:b w:val="0"/>
                <w:color w:val="1C1915"/>
                <w:sz w:val="18"/>
              </w:rPr>
              <w:t>Model and endpoint location</w:t>
            </w:r>
          </w:p>
        </w:tc>
        <w:tc>
          <w:tcPr>
            <w:tcW w:type="dxa" w:w="6754"/>
          </w:tcPr>
          <w:p>
            <w:pPr>
              <w:spacing w:after="40"/>
            </w:pPr>
            <w:r/>
            <w:r>
              <w:rPr>
                <w:b w:val="0"/>
                <w:color w:val="3D352B"/>
                <w:sz w:val="18"/>
              </w:rPr>
              <w:t>The model and where it runs, including the hosting service and region.</w:t>
            </w:r>
          </w:p>
        </w:tc>
      </w:tr>
      <w:tr>
        <w:trPr>
          <w:cantSplit/>
        </w:trPr>
        <w:tc>
          <w:tcPr>
            <w:tcW w:type="dxa" w:w="2894"/>
          </w:tcPr>
          <w:p>
            <w:pPr>
              <w:spacing w:after="40"/>
            </w:pPr>
            <w:r/>
            <w:r>
              <w:rPr>
                <w:b w:val="0"/>
                <w:color w:val="1C1915"/>
                <w:sz w:val="18"/>
              </w:rPr>
              <w:t>Inside boundary</w:t>
            </w:r>
          </w:p>
        </w:tc>
        <w:tc>
          <w:tcPr>
            <w:tcW w:type="dxa" w:w="6754"/>
          </w:tcPr>
          <w:p>
            <w:pPr>
              <w:spacing w:after="40"/>
            </w:pPr>
            <w:r/>
            <w:r>
              <w:rPr>
                <w:b w:val="0"/>
                <w:color w:val="3D352B"/>
                <w:sz w:val="18"/>
              </w:rPr>
              <w:t>Yes or no for this data class, and who confirmed it.</w:t>
            </w:r>
          </w:p>
        </w:tc>
      </w:tr>
      <w:tr>
        <w:trPr>
          <w:cantSplit/>
        </w:trPr>
        <w:tc>
          <w:tcPr>
            <w:tcW w:type="dxa" w:w="2894"/>
          </w:tcPr>
          <w:p>
            <w:pPr>
              <w:spacing w:after="40"/>
            </w:pPr>
            <w:r/>
            <w:r>
              <w:rPr>
                <w:b w:val="0"/>
                <w:color w:val="1C1915"/>
                <w:sz w:val="18"/>
              </w:rPr>
              <w:t>Principal</w:t>
            </w:r>
          </w:p>
        </w:tc>
        <w:tc>
          <w:tcPr>
            <w:tcW w:type="dxa" w:w="6754"/>
          </w:tcPr>
          <w:p>
            <w:pPr>
              <w:spacing w:after="40"/>
            </w:pPr>
            <w:r/>
            <w:r>
              <w:rPr>
                <w:b w:val="0"/>
                <w:color w:val="3D352B"/>
                <w:sz w:val="18"/>
              </w:rPr>
              <w:t>The person or role the agent acts for.</w:t>
            </w:r>
          </w:p>
        </w:tc>
      </w:tr>
      <w:tr>
        <w:trPr>
          <w:cantSplit/>
        </w:trPr>
        <w:tc>
          <w:tcPr>
            <w:tcW w:type="dxa" w:w="2894"/>
          </w:tcPr>
          <w:p>
            <w:pPr>
              <w:spacing w:after="40"/>
            </w:pPr>
            <w:r/>
            <w:r>
              <w:rPr>
                <w:b w:val="0"/>
                <w:color w:val="1C1915"/>
                <w:sz w:val="18"/>
              </w:rPr>
              <w:t>System and resources</w:t>
            </w:r>
          </w:p>
        </w:tc>
        <w:tc>
          <w:tcPr>
            <w:tcW w:type="dxa" w:w="6754"/>
          </w:tcPr>
          <w:p>
            <w:pPr>
              <w:spacing w:after="40"/>
            </w:pPr>
            <w:r/>
            <w:r>
              <w:rPr>
                <w:b w:val="0"/>
                <w:color w:val="3D352B"/>
                <w:sz w:val="18"/>
              </w:rPr>
              <w:t>The system, and the resources within it the agent may reach.</w:t>
            </w:r>
          </w:p>
        </w:tc>
      </w:tr>
      <w:tr>
        <w:trPr>
          <w:cantSplit/>
        </w:trPr>
        <w:tc>
          <w:tcPr>
            <w:tcW w:type="dxa" w:w="2894"/>
          </w:tcPr>
          <w:p>
            <w:pPr>
              <w:spacing w:after="40"/>
            </w:pPr>
            <w:r/>
            <w:r>
              <w:rPr>
                <w:b w:val="0"/>
                <w:color w:val="1C1915"/>
                <w:sz w:val="18"/>
              </w:rPr>
              <w:t>Data class</w:t>
            </w:r>
          </w:p>
        </w:tc>
        <w:tc>
          <w:tcPr>
            <w:tcW w:type="dxa" w:w="6754"/>
          </w:tcPr>
          <w:p>
            <w:pPr>
              <w:spacing w:after="40"/>
            </w:pPr>
            <w:r/>
            <w:r>
              <w:rPr>
                <w:b w:val="0"/>
                <w:color w:val="3D352B"/>
                <w:sz w:val="18"/>
              </w:rPr>
              <w:t>The highest class of data the agent can reach through this grant.</w:t>
            </w:r>
          </w:p>
        </w:tc>
      </w:tr>
      <w:tr>
        <w:trPr>
          <w:cantSplit/>
        </w:trPr>
        <w:tc>
          <w:tcPr>
            <w:tcW w:type="dxa" w:w="2894"/>
          </w:tcPr>
          <w:p>
            <w:pPr>
              <w:spacing w:after="40"/>
            </w:pPr>
            <w:r/>
            <w:r>
              <w:rPr>
                <w:b w:val="0"/>
                <w:color w:val="1C1915"/>
                <w:sz w:val="18"/>
              </w:rPr>
              <w:t>Pattern</w:t>
            </w:r>
          </w:p>
        </w:tc>
        <w:tc>
          <w:tcPr>
            <w:tcW w:type="dxa" w:w="6754"/>
          </w:tcPr>
          <w:p>
            <w:pPr>
              <w:spacing w:after="40"/>
            </w:pPr>
            <w:r/>
            <w:r>
              <w:rPr>
                <w:b w:val="0"/>
                <w:color w:val="3D352B"/>
                <w:sz w:val="18"/>
              </w:rPr>
              <w:t>A, B or C.</w:t>
            </w:r>
          </w:p>
        </w:tc>
      </w:tr>
      <w:tr>
        <w:trPr>
          <w:cantSplit/>
        </w:trPr>
        <w:tc>
          <w:tcPr>
            <w:tcW w:type="dxa" w:w="2894"/>
          </w:tcPr>
          <w:p>
            <w:pPr>
              <w:spacing w:after="40"/>
            </w:pPr>
            <w:r/>
            <w:r>
              <w:rPr>
                <w:b w:val="0"/>
                <w:color w:val="1C1915"/>
                <w:sz w:val="18"/>
              </w:rPr>
              <w:t>Scopes allowed and excluded</w:t>
            </w:r>
          </w:p>
        </w:tc>
        <w:tc>
          <w:tcPr>
            <w:tcW w:type="dxa" w:w="6754"/>
          </w:tcPr>
          <w:p>
            <w:pPr>
              <w:spacing w:after="40"/>
            </w:pPr>
            <w:r/>
            <w:r>
              <w:rPr>
                <w:b w:val="0"/>
                <w:color w:val="3D352B"/>
                <w:sz w:val="18"/>
              </w:rPr>
              <w:t>Both lists, by name.</w:t>
            </w:r>
          </w:p>
        </w:tc>
      </w:tr>
      <w:tr>
        <w:trPr>
          <w:cantSplit/>
        </w:trPr>
        <w:tc>
          <w:tcPr>
            <w:tcW w:type="dxa" w:w="2894"/>
          </w:tcPr>
          <w:p>
            <w:pPr>
              <w:spacing w:after="40"/>
            </w:pPr>
            <w:r/>
            <w:r>
              <w:rPr>
                <w:b w:val="0"/>
                <w:color w:val="1C1915"/>
                <w:sz w:val="18"/>
              </w:rPr>
              <w:t>High-impact actions</w:t>
            </w:r>
          </w:p>
        </w:tc>
        <w:tc>
          <w:tcPr>
            <w:tcW w:type="dxa" w:w="6754"/>
          </w:tcPr>
          <w:p>
            <w:pPr>
              <w:spacing w:after="40"/>
            </w:pPr>
            <w:r/>
            <w:r>
              <w:rPr>
                <w:b w:val="0"/>
                <w:color w:val="3D352B"/>
                <w:sz w:val="18"/>
              </w:rPr>
              <w:t>Each one, and whether it needs step-up approval or was pre-approved.</w:t>
            </w:r>
          </w:p>
        </w:tc>
      </w:tr>
      <w:tr>
        <w:trPr>
          <w:cantSplit/>
        </w:trPr>
        <w:tc>
          <w:tcPr>
            <w:tcW w:type="dxa" w:w="2894"/>
          </w:tcPr>
          <w:p>
            <w:pPr>
              <w:spacing w:after="40"/>
            </w:pPr>
            <w:r/>
            <w:r>
              <w:rPr>
                <w:b w:val="0"/>
                <w:color w:val="1C1915"/>
                <w:sz w:val="18"/>
              </w:rPr>
              <w:t>Approver and date</w:t>
            </w:r>
          </w:p>
        </w:tc>
        <w:tc>
          <w:tcPr>
            <w:tcW w:type="dxa" w:w="6754"/>
          </w:tcPr>
          <w:p>
            <w:pPr>
              <w:spacing w:after="40"/>
            </w:pPr>
            <w:r/>
            <w:r>
              <w:rPr>
                <w:b w:val="0"/>
                <w:color w:val="3D352B"/>
                <w:sz w:val="18"/>
              </w:rPr>
              <w:t>Who approved the grant, and when.</w:t>
            </w:r>
          </w:p>
        </w:tc>
      </w:tr>
      <w:tr>
        <w:trPr>
          <w:cantSplit/>
        </w:trPr>
        <w:tc>
          <w:tcPr>
            <w:tcW w:type="dxa" w:w="2894"/>
          </w:tcPr>
          <w:p>
            <w:pPr>
              <w:spacing w:after="40"/>
            </w:pPr>
            <w:r/>
            <w:r>
              <w:rPr>
                <w:b w:val="0"/>
                <w:color w:val="1C1915"/>
                <w:sz w:val="18"/>
              </w:rPr>
              <w:t>Risk accepted by</w:t>
            </w:r>
          </w:p>
        </w:tc>
        <w:tc>
          <w:tcPr>
            <w:tcW w:type="dxa" w:w="6754"/>
          </w:tcPr>
          <w:p>
            <w:pPr>
              <w:spacing w:after="40"/>
            </w:pPr>
            <w:r/>
            <w:r>
              <w:rPr>
                <w:b w:val="0"/>
                <w:color w:val="3D352B"/>
                <w:sz w:val="18"/>
              </w:rPr>
              <w:t>Required for any pre-approved high-impact action or exception.</w:t>
            </w:r>
          </w:p>
        </w:tc>
      </w:tr>
      <w:tr>
        <w:trPr>
          <w:cantSplit/>
        </w:trPr>
        <w:tc>
          <w:tcPr>
            <w:tcW w:type="dxa" w:w="2894"/>
          </w:tcPr>
          <w:p>
            <w:pPr>
              <w:spacing w:after="40"/>
            </w:pPr>
            <w:r/>
            <w:r>
              <w:rPr>
                <w:b w:val="0"/>
                <w:color w:val="1C1915"/>
                <w:sz w:val="18"/>
              </w:rPr>
              <w:t>Start and end dates</w:t>
            </w:r>
          </w:p>
        </w:tc>
        <w:tc>
          <w:tcPr>
            <w:tcW w:type="dxa" w:w="6754"/>
          </w:tcPr>
          <w:p>
            <w:pPr>
              <w:spacing w:after="40"/>
            </w:pPr>
            <w:r/>
            <w:r>
              <w:rPr>
                <w:b w:val="0"/>
                <w:color w:val="3D352B"/>
                <w:sz w:val="18"/>
              </w:rPr>
              <w:t>Both required.</w:t>
            </w:r>
          </w:p>
        </w:tc>
      </w:tr>
      <w:tr>
        <w:trPr>
          <w:cantSplit/>
        </w:trPr>
        <w:tc>
          <w:tcPr>
            <w:tcW w:type="dxa" w:w="2894"/>
          </w:tcPr>
          <w:p>
            <w:pPr>
              <w:spacing w:after="40"/>
            </w:pPr>
            <w:r/>
            <w:r>
              <w:rPr>
                <w:b w:val="0"/>
                <w:color w:val="1C1915"/>
                <w:sz w:val="18"/>
              </w:rPr>
              <w:t>Revocation steps</w:t>
            </w:r>
          </w:p>
        </w:tc>
        <w:tc>
          <w:tcPr>
            <w:tcW w:type="dxa" w:w="6754"/>
          </w:tcPr>
          <w:p>
            <w:pPr>
              <w:spacing w:after="40"/>
            </w:pPr>
            <w:r/>
            <w:r>
              <w:rPr>
                <w:b w:val="0"/>
                <w:color w:val="3D352B"/>
                <w:sz w:val="18"/>
              </w:rPr>
              <w:t>What to disable, and where.</w:t>
            </w:r>
          </w:p>
        </w:tc>
      </w:tr>
      <w:tr>
        <w:trPr>
          <w:cantSplit/>
        </w:trPr>
        <w:tc>
          <w:tcPr>
            <w:tcW w:type="dxa" w:w="2894"/>
          </w:tcPr>
          <w:p>
            <w:pPr>
              <w:spacing w:after="40"/>
            </w:pPr>
            <w:r/>
            <w:r>
              <w:rPr>
                <w:b w:val="0"/>
                <w:color w:val="1C1915"/>
                <w:sz w:val="18"/>
              </w:rPr>
              <w:t>Log location</w:t>
            </w:r>
          </w:p>
        </w:tc>
        <w:tc>
          <w:tcPr>
            <w:tcW w:type="dxa" w:w="6754"/>
          </w:tcPr>
          <w:p>
            <w:pPr>
              <w:spacing w:after="40"/>
            </w:pPr>
            <w:r/>
            <w:r>
              <w:rPr>
                <w:b w:val="0"/>
                <w:color w:val="3D352B"/>
                <w:sz w:val="18"/>
              </w:rPr>
              <w:t>Where the records in section 9 are kept.</w:t>
            </w:r>
          </w:p>
        </w:tc>
      </w:tr>
      <w:tr>
        <w:trPr>
          <w:cantSplit/>
        </w:trPr>
        <w:tc>
          <w:tcPr>
            <w:tcW w:type="dxa" w:w="2894"/>
          </w:tcPr>
          <w:p>
            <w:pPr>
              <w:spacing w:after="40"/>
            </w:pPr>
            <w:r/>
            <w:r>
              <w:rPr>
                <w:b w:val="0"/>
                <w:color w:val="1C1915"/>
                <w:sz w:val="18"/>
              </w:rPr>
              <w:t>Next review</w:t>
            </w:r>
          </w:p>
        </w:tc>
        <w:tc>
          <w:tcPr>
            <w:tcW w:type="dxa" w:w="6754"/>
          </w:tcPr>
          <w:p>
            <w:pPr>
              <w:spacing w:after="40"/>
            </w:pPr>
            <w:r/>
            <w:r>
              <w:rPr>
                <w:b w:val="0"/>
                <w:color w:val="3D352B"/>
                <w:sz w:val="18"/>
              </w:rPr>
              <w:t>The date of the next review.</w:t>
            </w:r>
          </w:p>
        </w:tc>
      </w:tr>
    </w:tbl>
    <w:p>
      <w:pPr>
        <w:spacing w:after="0"/>
      </w:pPr>
    </w:p>
    <w:p>
      <w:pPr>
        <w:pStyle w:val="Heading1"/>
        <w:pBdr>
          <w:top w:val="single" w:sz="4" w:space="4" w:color="D1C5B0"/>
        </w:pBdr>
      </w:pPr>
      <w:r>
        <w:rPr>
          <w:b w:val="0"/>
          <w:color w:val="573B1D"/>
          <w:sz w:val="16"/>
          <w:spacing w:val="30"/>
        </w:rPr>
        <w:t xml:space="preserve">09  </w:t>
      </w:r>
      <w:r>
        <w:t>Logging</w:t>
      </w:r>
    </w:p>
    <w:p>
      <w:r>
        <w:t>For every action under a Pattern B grant, and under Pattern A wherever the system allows it, record:</w:t>
      </w:r>
    </w:p>
    <w:tbl>
      <w:tblPr>
        <w:tblW w:type="auto" w:w="0"/>
        <w:jc w:val="left"/>
        <w:tblLayout w:type="fixed"/>
        <w:tblLook w:firstColumn="1" w:firstRow="1" w:lastColumn="0" w:lastRow="0" w:noHBand="0" w:noVBand="1" w:val="04A0"/>
        <w:tblBorders>
          <w:top w:val="nil"/>
          <w:left w:val="nil"/>
          <w:right w:val="nil"/>
          <w:insideV w:val="nil"/>
          <w:bottom w:val="single" w:sz="4" w:color="D1C5B0"/>
          <w:insideH w:val="single" w:sz="4" w:color="D1C5B0"/>
        </w:tblBorders>
        <w:tblCellMar>
          <w:top w:w="70" w:type="dxa"/>
          <w:bottom w:w="70" w:type="dxa"/>
          <w:left w:w="0" w:type="dxa"/>
          <w:right w:w="110" w:type="dxa"/>
        </w:tblCellMar>
      </w:tblPr>
      <w:tblGrid>
        <w:gridCol w:w="2894"/>
        <w:gridCol w:w="6754"/>
      </w:tblGrid>
      <w:tr>
        <w:trPr>
          <w:tblHeader/>
          <w:cantSplit/>
        </w:trPr>
        <w:tc>
          <w:tcPr>
            <w:tcW w:type="dxa" w:w="2894"/>
          </w:tcPr>
          <w:p>
            <w:pPr>
              <w:spacing w:after="40"/>
            </w:pPr>
            <w:r/>
            <w:r>
              <w:rPr>
                <w:b w:val="0"/>
                <w:color w:val="5C4E3C"/>
                <w:sz w:val="13"/>
                <w:spacing w:val="30"/>
              </w:rPr>
              <w:t>FIELD</w:t>
            </w:r>
          </w:p>
        </w:tc>
        <w:tc>
          <w:tcPr>
            <w:tcW w:type="dxa" w:w="6754"/>
          </w:tcPr>
          <w:p>
            <w:pPr>
              <w:spacing w:after="40"/>
            </w:pPr>
            <w:r/>
            <w:r>
              <w:rPr>
                <w:b w:val="0"/>
                <w:color w:val="5C4E3C"/>
                <w:sz w:val="13"/>
                <w:spacing w:val="30"/>
              </w:rPr>
              <w:t>CONTENTS</w:t>
            </w:r>
          </w:p>
        </w:tc>
      </w:tr>
      <w:tr>
        <w:trPr>
          <w:cantSplit/>
        </w:trPr>
        <w:tc>
          <w:tcPr>
            <w:tcW w:type="dxa" w:w="2894"/>
          </w:tcPr>
          <w:p>
            <w:pPr>
              <w:spacing w:after="40"/>
            </w:pPr>
            <w:r/>
            <w:r>
              <w:rPr>
                <w:b w:val="0"/>
                <w:color w:val="1C1915"/>
                <w:sz w:val="18"/>
              </w:rPr>
              <w:t>Agent</w:t>
            </w:r>
          </w:p>
        </w:tc>
        <w:tc>
          <w:tcPr>
            <w:tcW w:type="dxa" w:w="6754"/>
          </w:tcPr>
          <w:p>
            <w:pPr>
              <w:spacing w:after="40"/>
            </w:pPr>
            <w:r/>
            <w:r>
              <w:rPr>
                <w:b w:val="0"/>
                <w:color w:val="3D352B"/>
                <w:sz w:val="18"/>
              </w:rPr>
              <w:t>Agent identifier</w:t>
            </w:r>
          </w:p>
        </w:tc>
      </w:tr>
      <w:tr>
        <w:trPr>
          <w:cantSplit/>
        </w:trPr>
        <w:tc>
          <w:tcPr>
            <w:tcW w:type="dxa" w:w="2894"/>
          </w:tcPr>
          <w:p>
            <w:pPr>
              <w:spacing w:after="40"/>
            </w:pPr>
            <w:r/>
            <w:r>
              <w:rPr>
                <w:b w:val="0"/>
                <w:color w:val="1C1915"/>
                <w:sz w:val="18"/>
              </w:rPr>
              <w:t>Acting for</w:t>
            </w:r>
          </w:p>
        </w:tc>
        <w:tc>
          <w:tcPr>
            <w:tcW w:type="dxa" w:w="6754"/>
          </w:tcPr>
          <w:p>
            <w:pPr>
              <w:spacing w:after="40"/>
            </w:pPr>
            <w:r/>
            <w:r>
              <w:rPr>
                <w:b w:val="0"/>
                <w:color w:val="3D352B"/>
                <w:sz w:val="18"/>
              </w:rPr>
              <w:t>Principal identifier</w:t>
            </w:r>
          </w:p>
        </w:tc>
      </w:tr>
      <w:tr>
        <w:trPr>
          <w:cantSplit/>
        </w:trPr>
        <w:tc>
          <w:tcPr>
            <w:tcW w:type="dxa" w:w="2894"/>
          </w:tcPr>
          <w:p>
            <w:pPr>
              <w:spacing w:after="40"/>
            </w:pPr>
            <w:r/>
            <w:r>
              <w:rPr>
                <w:b w:val="0"/>
                <w:color w:val="1C1915"/>
                <w:sz w:val="18"/>
              </w:rPr>
              <w:t>Where</w:t>
            </w:r>
          </w:p>
        </w:tc>
        <w:tc>
          <w:tcPr>
            <w:tcW w:type="dxa" w:w="6754"/>
          </w:tcPr>
          <w:p>
            <w:pPr>
              <w:spacing w:after="40"/>
            </w:pPr>
            <w:r/>
            <w:r>
              <w:rPr>
                <w:b w:val="0"/>
                <w:color w:val="3D352B"/>
                <w:sz w:val="18"/>
              </w:rPr>
              <w:t>System, tenant, environment and resource</w:t>
            </w:r>
          </w:p>
        </w:tc>
      </w:tr>
      <w:tr>
        <w:trPr>
          <w:cantSplit/>
        </w:trPr>
        <w:tc>
          <w:tcPr>
            <w:tcW w:type="dxa" w:w="2894"/>
          </w:tcPr>
          <w:p>
            <w:pPr>
              <w:spacing w:after="40"/>
            </w:pPr>
            <w:r/>
            <w:r>
              <w:rPr>
                <w:b w:val="0"/>
                <w:color w:val="1C1915"/>
                <w:sz w:val="18"/>
              </w:rPr>
              <w:t>What</w:t>
            </w:r>
          </w:p>
        </w:tc>
        <w:tc>
          <w:tcPr>
            <w:tcW w:type="dxa" w:w="6754"/>
          </w:tcPr>
          <w:p>
            <w:pPr>
              <w:spacing w:after="40"/>
            </w:pPr>
            <w:r/>
            <w:r>
              <w:rPr>
                <w:b w:val="0"/>
                <w:color w:val="3D352B"/>
                <w:sz w:val="18"/>
              </w:rPr>
              <w:t>The action requested or taken</w:t>
            </w:r>
          </w:p>
        </w:tc>
      </w:tr>
      <w:tr>
        <w:trPr>
          <w:cantSplit/>
        </w:trPr>
        <w:tc>
          <w:tcPr>
            <w:tcW w:type="dxa" w:w="2894"/>
          </w:tcPr>
          <w:p>
            <w:pPr>
              <w:spacing w:after="40"/>
            </w:pPr>
            <w:r/>
            <w:r>
              <w:rPr>
                <w:b w:val="0"/>
                <w:color w:val="1C1915"/>
                <w:sz w:val="18"/>
              </w:rPr>
              <w:t>Decision</w:t>
            </w:r>
          </w:p>
        </w:tc>
        <w:tc>
          <w:tcPr>
            <w:tcW w:type="dxa" w:w="6754"/>
          </w:tcPr>
          <w:p>
            <w:pPr>
              <w:spacing w:after="40"/>
            </w:pPr>
            <w:r/>
            <w:r>
              <w:rPr>
                <w:b w:val="0"/>
                <w:color w:val="3D352B"/>
                <w:sz w:val="18"/>
              </w:rPr>
              <w:t>Allowed or denied, with the reason</w:t>
            </w:r>
          </w:p>
        </w:tc>
      </w:tr>
      <w:tr>
        <w:trPr>
          <w:cantSplit/>
        </w:trPr>
        <w:tc>
          <w:tcPr>
            <w:tcW w:type="dxa" w:w="2894"/>
          </w:tcPr>
          <w:p>
            <w:pPr>
              <w:spacing w:after="40"/>
            </w:pPr>
            <w:r/>
            <w:r>
              <w:rPr>
                <w:b w:val="0"/>
                <w:color w:val="1C1915"/>
                <w:sz w:val="18"/>
              </w:rPr>
              <w:t>Approval</w:t>
            </w:r>
          </w:p>
        </w:tc>
        <w:tc>
          <w:tcPr>
            <w:tcW w:type="dxa" w:w="6754"/>
          </w:tcPr>
          <w:p>
            <w:pPr>
              <w:spacing w:after="40"/>
            </w:pPr>
            <w:r/>
            <w:r>
              <w:rPr>
                <w:b w:val="0"/>
                <w:color w:val="3D352B"/>
                <w:sz w:val="18"/>
              </w:rPr>
              <w:t>Approver and time, when a person approved or denied it</w:t>
            </w:r>
          </w:p>
        </w:tc>
      </w:tr>
      <w:tr>
        <w:trPr>
          <w:cantSplit/>
        </w:trPr>
        <w:tc>
          <w:tcPr>
            <w:tcW w:type="dxa" w:w="2894"/>
          </w:tcPr>
          <w:p>
            <w:pPr>
              <w:spacing w:after="40"/>
            </w:pPr>
            <w:r/>
            <w:r>
              <w:rPr>
                <w:b w:val="0"/>
                <w:color w:val="1C1915"/>
                <w:sz w:val="18"/>
              </w:rPr>
              <w:t>Rule</w:t>
            </w:r>
          </w:p>
        </w:tc>
        <w:tc>
          <w:tcPr>
            <w:tcW w:type="dxa" w:w="6754"/>
          </w:tcPr>
          <w:p>
            <w:pPr>
              <w:spacing w:after="40"/>
            </w:pPr>
            <w:r/>
            <w:r>
              <w:rPr>
                <w:b w:val="0"/>
                <w:color w:val="3D352B"/>
                <w:sz w:val="18"/>
              </w:rPr>
              <w:t>Policy version applied</w:t>
            </w:r>
          </w:p>
        </w:tc>
      </w:tr>
      <w:tr>
        <w:trPr>
          <w:cantSplit/>
        </w:trPr>
        <w:tc>
          <w:tcPr>
            <w:tcW w:type="dxa" w:w="2894"/>
          </w:tcPr>
          <w:p>
            <w:pPr>
              <w:spacing w:after="40"/>
            </w:pPr>
            <w:r/>
            <w:r>
              <w:rPr>
                <w:b w:val="0"/>
                <w:color w:val="1C1915"/>
                <w:sz w:val="18"/>
              </w:rPr>
              <w:t>Trace</w:t>
            </w:r>
          </w:p>
        </w:tc>
        <w:tc>
          <w:tcPr>
            <w:tcW w:type="dxa" w:w="6754"/>
          </w:tcPr>
          <w:p>
            <w:pPr>
              <w:spacing w:after="40"/>
            </w:pPr>
            <w:r/>
            <w:r>
              <w:rPr>
                <w:b w:val="0"/>
                <w:color w:val="3D352B"/>
                <w:sz w:val="18"/>
              </w:rPr>
              <w:t>Correlation ID and timestamp</w:t>
            </w:r>
          </w:p>
        </w:tc>
      </w:tr>
    </w:tbl>
    <w:p>
      <w:pPr>
        <w:spacing w:after="0"/>
      </w:pPr>
    </w:p>
    <w:p>
      <w:pPr>
        <w:pStyle w:val="ListBullet"/>
      </w:pPr>
      <w:r>
        <w:t>Never log tokens, passwords or one-time codes (OWASP §3.3.3).</w:t>
      </w:r>
    </w:p>
    <w:p>
      <w:pPr>
        <w:pStyle w:val="ListBullet"/>
      </w:pPr>
      <w:r>
        <w:t>Keep logs where the agent can't change them (800-171 r3 03.03.08).</w:t>
      </w:r>
    </w:p>
    <w:p>
      <w:pPr>
        <w:pStyle w:val="ListBullet"/>
      </w:pPr>
      <w:r>
        <w:t>Record every human approval and denial with the approver's name (OWASP §3.1.5).</w:t>
      </w:r>
    </w:p>
    <w:p>
      <w:pPr>
        <w:pStyle w:val="ListBullet"/>
      </w:pPr>
      <w:r>
        <w:t>Keep logs for [retention period] and review them [frequency] (800-171 r3 03.03.05).</w:t>
      </w:r>
    </w:p>
    <w:p>
      <w:pPr>
        <w:pStyle w:val="Heading1"/>
        <w:pBdr>
          <w:top w:val="single" w:sz="4" w:space="4" w:color="D1C5B0"/>
        </w:pBdr>
      </w:pPr>
      <w:r>
        <w:rPr>
          <w:b w:val="0"/>
          <w:color w:val="573B1D"/>
          <w:sz w:val="16"/>
          <w:spacing w:val="30"/>
        </w:rPr>
        <w:t xml:space="preserve">10  </w:t>
      </w:r>
      <w:r>
        <w:t>Revocation and decommissioning</w:t>
      </w:r>
    </w:p>
    <w:p>
      <w:r>
        <w:t>Revoke a grant when any of these happens:</w:t>
      </w:r>
    </w:p>
    <w:p>
      <w:pPr>
        <w:pStyle w:val="ListBullet"/>
      </w:pPr>
      <w:r>
        <w:t>The end date arrives.</w:t>
      </w:r>
    </w:p>
    <w:p>
      <w:pPr>
        <w:pStyle w:val="ListBullet"/>
      </w:pPr>
      <w:r>
        <w:t>The principal changes role or leaves.</w:t>
      </w:r>
    </w:p>
    <w:p>
      <w:pPr>
        <w:pStyle w:val="ListBullet"/>
      </w:pPr>
      <w:r>
        <w:t>The agent, its model or its model endpoint changes.</w:t>
      </w:r>
    </w:p>
    <w:p>
      <w:pPr>
        <w:pStyle w:val="ListBullet"/>
      </w:pPr>
      <w:r>
        <w:t>Logs show an action outside the grant's scopes.</w:t>
      </w:r>
    </w:p>
    <w:p>
      <w:pPr>
        <w:pStyle w:val="ListBullet"/>
      </w:pPr>
      <w:r>
        <w:t>The system owner, the security lead or the accountable executive asks.</w:t>
      </w:r>
    </w:p>
    <w:p>
      <w:r>
        <w:t>To revoke: disable the agent's identity or remove its approval in the credential manager, revoke active tokens and sessions, confirm downstream delegations are cut, then record the date and reason in the register. Keep the logs for the full retention period.</w:t>
      </w:r>
    </w:p>
    <w:p>
      <w:pPr>
        <w:pStyle w:val="Heading1"/>
        <w:pBdr>
          <w:top w:val="single" w:sz="4" w:space="4" w:color="D1C5B0"/>
        </w:pBdr>
      </w:pPr>
      <w:r>
        <w:rPr>
          <w:b w:val="0"/>
          <w:color w:val="573B1D"/>
          <w:sz w:val="16"/>
          <w:spacing w:val="30"/>
        </w:rPr>
        <w:t xml:space="preserve">11  </w:t>
      </w:r>
      <w:r>
        <w:t>Review</w:t>
      </w:r>
    </w:p>
    <w:p>
      <w:r>
        <w:t>The AI governance lead reviews the register [quarterly] and reports to the accountable executive on active grants by pattern, expired grants still active, grants past their review date, and open exceptions.</w:t>
      </w:r>
    </w:p>
    <w:p>
      <w:r>
        <w:t>Review sooner after an incident, when a vendor changes how its agents sign in, or when an agent moves to a new model endpoint.</w:t>
      </w:r>
    </w:p>
    <w:p>
      <w:pPr>
        <w:pStyle w:val="Heading1"/>
        <w:pBdr>
          <w:top w:val="single" w:sz="4" w:space="4" w:color="D1C5B0"/>
        </w:pBdr>
      </w:pPr>
      <w:r>
        <w:rPr>
          <w:b w:val="0"/>
          <w:color w:val="573B1D"/>
          <w:sz w:val="16"/>
          <w:spacing w:val="30"/>
        </w:rPr>
        <w:t xml:space="preserve">12  </w:t>
      </w:r>
      <w:r>
        <w:t>Exceptions</w:t>
      </w:r>
    </w:p>
    <w:p>
      <w:r>
        <w:t>An exception is written, lasts no longer than [90] days, names its compensating controls, and is accepted by the accountable executive. It is recorded in the register. No exception lets an agent receive a person's authenticator.</w:t>
      </w:r>
    </w:p>
    <w:p>
      <w:pPr>
        <w:pStyle w:val="Heading1"/>
        <w:pBdr>
          <w:top w:val="single" w:sz="4" w:space="4" w:color="D1C5B0"/>
        </w:pBdr>
      </w:pPr>
      <w:r>
        <w:rPr>
          <w:b w:val="0"/>
          <w:color w:val="573B1D"/>
          <w:sz w:val="16"/>
          <w:spacing w:val="30"/>
        </w:rPr>
        <w:t xml:space="preserve">13  </w:t>
      </w:r>
      <w:r>
        <w:t>Crosswalk</w:t>
      </w:r>
    </w:p>
    <w:p>
      <w:r>
        <w:t>Mappings are the author's reading of each source. Confirm them against your own authorization documents before relying on them.</w:t>
      </w:r>
    </w:p>
    <w:p>
      <w:pPr>
        <w:keepNext/>
        <w:spacing w:before="200"/>
      </w:pPr>
      <w:r>
        <w:rPr>
          <w:b w:val="0"/>
          <w:color w:val="5C4E3C"/>
          <w:sz w:val="15"/>
          <w:spacing w:val="30"/>
        </w:rPr>
        <w:t>FEDERAL REQUIREMENTS</w:t>
      </w:r>
    </w:p>
    <w:tbl>
      <w:tblPr>
        <w:tblW w:type="auto" w:w="0"/>
        <w:jc w:val="left"/>
        <w:tblLayout w:type="fixed"/>
        <w:tblLook w:firstColumn="1" w:firstRow="1" w:lastColumn="0" w:lastRow="0" w:noHBand="0" w:noVBand="1" w:val="04A0"/>
        <w:tblBorders>
          <w:top w:val="nil"/>
          <w:left w:val="nil"/>
          <w:right w:val="nil"/>
          <w:insideV w:val="nil"/>
          <w:bottom w:val="single" w:sz="4" w:color="D1C5B0"/>
          <w:insideH w:val="single" w:sz="4" w:color="D1C5B0"/>
        </w:tblBorders>
        <w:tblCellMar>
          <w:top w:w="70" w:type="dxa"/>
          <w:bottom w:w="70" w:type="dxa"/>
          <w:left w:w="0" w:type="dxa"/>
          <w:right w:w="110" w:type="dxa"/>
        </w:tblCellMar>
      </w:tblPr>
      <w:tblGrid>
        <w:gridCol w:w="675"/>
        <w:gridCol w:w="2991"/>
        <w:gridCol w:w="1930"/>
        <w:gridCol w:w="1737"/>
        <w:gridCol w:w="2316"/>
      </w:tblGrid>
      <w:tr>
        <w:trPr>
          <w:tblHeader/>
          <w:cantSplit/>
        </w:trPr>
        <w:tc>
          <w:tcPr>
            <w:tcW w:type="dxa" w:w="675"/>
          </w:tcPr>
          <w:p>
            <w:pPr>
              <w:spacing w:after="40"/>
            </w:pPr>
            <w:r/>
            <w:r>
              <w:rPr>
                <w:b w:val="0"/>
                <w:color w:val="5C4E3C"/>
                <w:sz w:val="13"/>
                <w:spacing w:val="30"/>
              </w:rPr>
              <w:t>REQ.</w:t>
            </w:r>
          </w:p>
        </w:tc>
        <w:tc>
          <w:tcPr>
            <w:tcW w:type="dxa" w:w="2991"/>
          </w:tcPr>
          <w:p>
            <w:pPr>
              <w:spacing w:after="40"/>
            </w:pPr>
            <w:r/>
            <w:r>
              <w:rPr>
                <w:b w:val="0"/>
                <w:color w:val="5C4E3C"/>
                <w:sz w:val="13"/>
                <w:spacing w:val="30"/>
              </w:rPr>
              <w:t>NIST SP 800-171 R3</w:t>
            </w:r>
          </w:p>
        </w:tc>
        <w:tc>
          <w:tcPr>
            <w:tcW w:type="dxa" w:w="1930"/>
          </w:tcPr>
          <w:p>
            <w:pPr>
              <w:spacing w:after="40"/>
            </w:pPr>
            <w:r/>
            <w:r>
              <w:rPr>
                <w:b w:val="0"/>
                <w:color w:val="5C4E3C"/>
                <w:sz w:val="13"/>
                <w:spacing w:val="30"/>
              </w:rPr>
              <w:t>CMMC LEVEL 2</w:t>
            </w:r>
          </w:p>
        </w:tc>
        <w:tc>
          <w:tcPr>
            <w:tcW w:type="dxa" w:w="1737"/>
          </w:tcPr>
          <w:p>
            <w:pPr>
              <w:spacing w:after="40"/>
            </w:pPr>
            <w:r/>
            <w:r>
              <w:rPr>
                <w:b w:val="0"/>
                <w:color w:val="5C4E3C"/>
                <w:sz w:val="13"/>
                <w:spacing w:val="30"/>
              </w:rPr>
              <w:t>CMMC LEVEL 3</w:t>
            </w:r>
          </w:p>
        </w:tc>
        <w:tc>
          <w:tcPr>
            <w:tcW w:type="dxa" w:w="2316"/>
          </w:tcPr>
          <w:p>
            <w:pPr>
              <w:spacing w:after="40"/>
            </w:pPr>
            <w:r/>
            <w:r>
              <w:rPr>
                <w:b w:val="0"/>
                <w:color w:val="5C4E3C"/>
                <w:sz w:val="13"/>
                <w:spacing w:val="30"/>
              </w:rPr>
              <w:t>OMB M-25-21</w:t>
            </w:r>
          </w:p>
        </w:tc>
      </w:tr>
      <w:tr>
        <w:trPr>
          <w:cantSplit/>
        </w:trPr>
        <w:tc>
          <w:tcPr>
            <w:tcW w:type="dxa" w:w="675"/>
          </w:tcPr>
          <w:p>
            <w:pPr>
              <w:spacing w:after="40"/>
            </w:pPr>
            <w:r/>
            <w:r>
              <w:rPr>
                <w:b w:val="0"/>
                <w:color w:val="1C1915"/>
                <w:sz w:val="16"/>
              </w:rPr>
              <w:t>5.1</w:t>
            </w:r>
          </w:p>
        </w:tc>
        <w:tc>
          <w:tcPr>
            <w:tcW w:type="dxa" w:w="2991"/>
          </w:tcPr>
          <w:p>
            <w:pPr>
              <w:spacing w:after="40"/>
            </w:pPr>
            <w:r/>
            <w:r>
              <w:rPr>
                <w:b w:val="0"/>
                <w:color w:val="3D352B"/>
                <w:sz w:val="16"/>
              </w:rPr>
              <w:t>03.05.12 Authenticator Management</w:t>
            </w:r>
          </w:p>
        </w:tc>
        <w:tc>
          <w:tcPr>
            <w:tcW w:type="dxa" w:w="1930"/>
          </w:tcPr>
          <w:p>
            <w:pPr>
              <w:spacing w:after="40"/>
            </w:pPr>
            <w:r/>
            <w:r>
              <w:rPr>
                <w:b w:val="0"/>
                <w:color w:val="3D352B"/>
                <w:sz w:val="16"/>
              </w:rPr>
            </w:r>
          </w:p>
        </w:tc>
        <w:tc>
          <w:tcPr>
            <w:tcW w:type="dxa" w:w="1737"/>
          </w:tcPr>
          <w:p>
            <w:pPr>
              <w:spacing w:after="40"/>
            </w:pPr>
            <w:r/>
            <w:r>
              <w:rPr>
                <w:b w:val="0"/>
                <w:color w:val="3D352B"/>
                <w:sz w:val="16"/>
              </w:rPr>
            </w:r>
          </w:p>
        </w:tc>
        <w:tc>
          <w:tcPr>
            <w:tcW w:type="dxa" w:w="2316"/>
          </w:tcPr>
          <w:p>
            <w:pPr>
              <w:spacing w:after="40"/>
            </w:pPr>
            <w:r/>
            <w:r>
              <w:rPr>
                <w:b w:val="0"/>
                <w:color w:val="3D352B"/>
                <w:sz w:val="16"/>
              </w:rPr>
            </w:r>
          </w:p>
        </w:tc>
      </w:tr>
      <w:tr>
        <w:trPr>
          <w:cantSplit/>
        </w:trPr>
        <w:tc>
          <w:tcPr>
            <w:tcW w:type="dxa" w:w="675"/>
          </w:tcPr>
          <w:p>
            <w:pPr>
              <w:spacing w:after="40"/>
            </w:pPr>
            <w:r/>
            <w:r>
              <w:rPr>
                <w:b w:val="0"/>
                <w:color w:val="1C1915"/>
                <w:sz w:val="16"/>
              </w:rPr>
              <w:t>5.2</w:t>
            </w:r>
          </w:p>
        </w:tc>
        <w:tc>
          <w:tcPr>
            <w:tcW w:type="dxa" w:w="2991"/>
          </w:tcPr>
          <w:p>
            <w:pPr>
              <w:spacing w:after="40"/>
            </w:pPr>
            <w:r/>
            <w:r>
              <w:rPr>
                <w:b w:val="0"/>
                <w:color w:val="3D352B"/>
                <w:sz w:val="16"/>
              </w:rPr>
              <w:t>03.01.01 Account Management; 03.05.05 Identifier Management</w:t>
            </w:r>
          </w:p>
        </w:tc>
        <w:tc>
          <w:tcPr>
            <w:tcW w:type="dxa" w:w="1930"/>
          </w:tcPr>
          <w:p>
            <w:pPr>
              <w:spacing w:after="40"/>
            </w:pPr>
            <w:r/>
            <w:r>
              <w:rPr>
                <w:b w:val="0"/>
                <w:color w:val="3D352B"/>
                <w:sz w:val="16"/>
              </w:rPr>
              <w:t>AC.L2-3.1.1</w:t>
            </w:r>
          </w:p>
        </w:tc>
        <w:tc>
          <w:tcPr>
            <w:tcW w:type="dxa" w:w="1737"/>
          </w:tcPr>
          <w:p>
            <w:pPr>
              <w:spacing w:after="40"/>
            </w:pPr>
            <w:r/>
            <w:r>
              <w:rPr>
                <w:b w:val="0"/>
                <w:color w:val="3D352B"/>
                <w:sz w:val="16"/>
              </w:rPr>
              <w:t>IA.L3-3.5.3e;</w:t>
              <w:br/>
              <w:t>CM.L3-3.4.3e</w:t>
            </w:r>
          </w:p>
        </w:tc>
        <w:tc>
          <w:tcPr>
            <w:tcW w:type="dxa" w:w="2316"/>
          </w:tcPr>
          <w:p>
            <w:pPr>
              <w:spacing w:after="40"/>
            </w:pPr>
            <w:r/>
            <w:r>
              <w:rPr>
                <w:b w:val="0"/>
                <w:color w:val="3D352B"/>
                <w:sz w:val="16"/>
              </w:rPr>
              <w:t>§3(a)(i)(E) AI use case inventory</w:t>
            </w:r>
          </w:p>
        </w:tc>
      </w:tr>
      <w:tr>
        <w:trPr>
          <w:cantSplit/>
        </w:trPr>
        <w:tc>
          <w:tcPr>
            <w:tcW w:type="dxa" w:w="675"/>
          </w:tcPr>
          <w:p>
            <w:pPr>
              <w:spacing w:after="40"/>
            </w:pPr>
            <w:r/>
            <w:r>
              <w:rPr>
                <w:b w:val="0"/>
                <w:color w:val="1C1915"/>
                <w:sz w:val="16"/>
              </w:rPr>
              <w:t>5.3</w:t>
            </w:r>
          </w:p>
        </w:tc>
        <w:tc>
          <w:tcPr>
            <w:tcW w:type="dxa" w:w="2991"/>
          </w:tcPr>
          <w:p>
            <w:pPr>
              <w:spacing w:after="40"/>
            </w:pPr>
            <w:r/>
            <w:r>
              <w:rPr>
                <w:b w:val="0"/>
                <w:color w:val="3D352B"/>
                <w:sz w:val="16"/>
              </w:rPr>
              <w:t>03.05.01 User Identification and Authentication</w:t>
            </w:r>
          </w:p>
        </w:tc>
        <w:tc>
          <w:tcPr>
            <w:tcW w:type="dxa" w:w="1930"/>
          </w:tcPr>
          <w:p>
            <w:pPr>
              <w:spacing w:after="40"/>
            </w:pPr>
            <w:r/>
            <w:r>
              <w:rPr>
                <w:b w:val="0"/>
                <w:color w:val="3D352B"/>
                <w:sz w:val="16"/>
              </w:rPr>
              <w:t>IA.L2-3.5.1</w:t>
            </w:r>
          </w:p>
        </w:tc>
        <w:tc>
          <w:tcPr>
            <w:tcW w:type="dxa" w:w="1737"/>
          </w:tcPr>
          <w:p>
            <w:pPr>
              <w:spacing w:after="40"/>
            </w:pPr>
            <w:r/>
            <w:r>
              <w:rPr>
                <w:b w:val="0"/>
                <w:color w:val="3D352B"/>
                <w:sz w:val="16"/>
              </w:rPr>
              <w:t>IA.L3-3.5.1e</w:t>
            </w:r>
          </w:p>
        </w:tc>
        <w:tc>
          <w:tcPr>
            <w:tcW w:type="dxa" w:w="2316"/>
          </w:tcPr>
          <w:p>
            <w:pPr>
              <w:spacing w:after="40"/>
            </w:pPr>
            <w:r/>
            <w:r>
              <w:rPr>
                <w:b w:val="0"/>
                <w:color w:val="3D352B"/>
                <w:sz w:val="16"/>
              </w:rPr>
            </w:r>
          </w:p>
        </w:tc>
      </w:tr>
      <w:tr>
        <w:trPr>
          <w:cantSplit/>
        </w:trPr>
        <w:tc>
          <w:tcPr>
            <w:tcW w:type="dxa" w:w="675"/>
          </w:tcPr>
          <w:p>
            <w:pPr>
              <w:spacing w:after="40"/>
            </w:pPr>
            <w:r/>
            <w:r>
              <w:rPr>
                <w:b w:val="0"/>
                <w:color w:val="1C1915"/>
                <w:sz w:val="16"/>
              </w:rPr>
              <w:t>5.4</w:t>
            </w:r>
          </w:p>
        </w:tc>
        <w:tc>
          <w:tcPr>
            <w:tcW w:type="dxa" w:w="2991"/>
          </w:tcPr>
          <w:p>
            <w:pPr>
              <w:spacing w:after="40"/>
            </w:pPr>
            <w:r/>
            <w:r>
              <w:rPr>
                <w:b w:val="0"/>
                <w:color w:val="3D352B"/>
                <w:sz w:val="16"/>
              </w:rPr>
              <w:t>03.01.02 Access Enforcement; 03.01.05 Least Privilege</w:t>
            </w:r>
          </w:p>
        </w:tc>
        <w:tc>
          <w:tcPr>
            <w:tcW w:type="dxa" w:w="1930"/>
          </w:tcPr>
          <w:p>
            <w:pPr>
              <w:spacing w:after="40"/>
            </w:pPr>
            <w:r/>
            <w:r>
              <w:rPr>
                <w:b w:val="0"/>
                <w:color w:val="3D352B"/>
                <w:sz w:val="16"/>
              </w:rPr>
              <w:t>AC.L2-3.1.2;</w:t>
              <w:br/>
              <w:t>AC.L2-3.1.5</w:t>
            </w:r>
          </w:p>
        </w:tc>
        <w:tc>
          <w:tcPr>
            <w:tcW w:type="dxa" w:w="1737"/>
          </w:tcPr>
          <w:p>
            <w:pPr>
              <w:spacing w:after="40"/>
            </w:pPr>
            <w:r/>
            <w:r>
              <w:rPr>
                <w:b w:val="0"/>
                <w:color w:val="3D352B"/>
                <w:sz w:val="16"/>
              </w:rPr>
            </w:r>
          </w:p>
        </w:tc>
        <w:tc>
          <w:tcPr>
            <w:tcW w:type="dxa" w:w="2316"/>
          </w:tcPr>
          <w:p>
            <w:pPr>
              <w:spacing w:after="40"/>
            </w:pPr>
            <w:r/>
            <w:r>
              <w:rPr>
                <w:b w:val="0"/>
                <w:color w:val="3D352B"/>
                <w:sz w:val="16"/>
              </w:rPr>
            </w:r>
          </w:p>
        </w:tc>
      </w:tr>
      <w:tr>
        <w:trPr>
          <w:cantSplit/>
        </w:trPr>
        <w:tc>
          <w:tcPr>
            <w:tcW w:type="dxa" w:w="675"/>
          </w:tcPr>
          <w:p>
            <w:pPr>
              <w:spacing w:after="40"/>
            </w:pPr>
            <w:r/>
            <w:r>
              <w:rPr>
                <w:b w:val="0"/>
                <w:color w:val="1C1915"/>
                <w:sz w:val="16"/>
              </w:rPr>
              <w:t>5.5</w:t>
            </w:r>
          </w:p>
        </w:tc>
        <w:tc>
          <w:tcPr>
            <w:tcW w:type="dxa" w:w="2991"/>
          </w:tcPr>
          <w:p>
            <w:pPr>
              <w:spacing w:after="40"/>
            </w:pPr>
            <w:r/>
            <w:r>
              <w:rPr>
                <w:b w:val="0"/>
                <w:color w:val="3D352B"/>
                <w:sz w:val="16"/>
              </w:rPr>
              <w:t>03.01.01 Account Management</w:t>
            </w:r>
          </w:p>
        </w:tc>
        <w:tc>
          <w:tcPr>
            <w:tcW w:type="dxa" w:w="1930"/>
          </w:tcPr>
          <w:p>
            <w:pPr>
              <w:spacing w:after="40"/>
            </w:pPr>
            <w:r/>
            <w:r>
              <w:rPr>
                <w:b w:val="0"/>
                <w:color w:val="3D352B"/>
                <w:sz w:val="16"/>
              </w:rPr>
              <w:t>AC.L2-3.1.1</w:t>
            </w:r>
          </w:p>
        </w:tc>
        <w:tc>
          <w:tcPr>
            <w:tcW w:type="dxa" w:w="1737"/>
          </w:tcPr>
          <w:p>
            <w:pPr>
              <w:spacing w:after="40"/>
            </w:pPr>
            <w:r/>
            <w:r>
              <w:rPr>
                <w:b w:val="0"/>
                <w:color w:val="3D352B"/>
                <w:sz w:val="16"/>
              </w:rPr>
            </w:r>
          </w:p>
        </w:tc>
        <w:tc>
          <w:tcPr>
            <w:tcW w:type="dxa" w:w="2316"/>
          </w:tcPr>
          <w:p>
            <w:pPr>
              <w:spacing w:after="40"/>
            </w:pPr>
            <w:r/>
            <w:r>
              <w:rPr>
                <w:b w:val="0"/>
                <w:color w:val="3D352B"/>
                <w:sz w:val="16"/>
              </w:rPr>
            </w:r>
          </w:p>
        </w:tc>
      </w:tr>
      <w:tr>
        <w:trPr>
          <w:cantSplit/>
        </w:trPr>
        <w:tc>
          <w:tcPr>
            <w:tcW w:type="dxa" w:w="675"/>
          </w:tcPr>
          <w:p>
            <w:pPr>
              <w:spacing w:after="40"/>
            </w:pPr>
            <w:r/>
            <w:r>
              <w:rPr>
                <w:b w:val="0"/>
                <w:color w:val="1C1915"/>
                <w:sz w:val="16"/>
              </w:rPr>
              <w:t>5.6</w:t>
            </w:r>
          </w:p>
        </w:tc>
        <w:tc>
          <w:tcPr>
            <w:tcW w:type="dxa" w:w="2991"/>
          </w:tcPr>
          <w:p>
            <w:pPr>
              <w:spacing w:after="40"/>
            </w:pPr>
            <w:r/>
            <w:r>
              <w:rPr>
                <w:b w:val="0"/>
                <w:color w:val="3D352B"/>
                <w:sz w:val="16"/>
              </w:rPr>
              <w:t>03.01.03 Information Flow Enforcement; 03.01.20 Use of External Systems</w:t>
            </w:r>
          </w:p>
        </w:tc>
        <w:tc>
          <w:tcPr>
            <w:tcW w:type="dxa" w:w="1930"/>
          </w:tcPr>
          <w:p>
            <w:pPr>
              <w:spacing w:after="40"/>
            </w:pPr>
            <w:r/>
            <w:r>
              <w:rPr>
                <w:b w:val="0"/>
                <w:color w:val="3D352B"/>
                <w:sz w:val="16"/>
              </w:rPr>
              <w:t>AC.L2-3.1.3;</w:t>
              <w:br/>
              <w:t>AC.L2-3.1.20</w:t>
            </w:r>
          </w:p>
        </w:tc>
        <w:tc>
          <w:tcPr>
            <w:tcW w:type="dxa" w:w="1737"/>
          </w:tcPr>
          <w:p>
            <w:pPr>
              <w:spacing w:after="40"/>
            </w:pPr>
            <w:r/>
            <w:r>
              <w:rPr>
                <w:b w:val="0"/>
                <w:color w:val="3D352B"/>
                <w:sz w:val="16"/>
              </w:rPr>
              <w:t>AC.L3-3.1.2e;</w:t>
              <w:br/>
              <w:t>AC.L3-3.1.3e</w:t>
            </w:r>
          </w:p>
        </w:tc>
        <w:tc>
          <w:tcPr>
            <w:tcW w:type="dxa" w:w="2316"/>
          </w:tcPr>
          <w:p>
            <w:pPr>
              <w:spacing w:after="40"/>
            </w:pPr>
            <w:r/>
            <w:r>
              <w:rPr>
                <w:b w:val="0"/>
                <w:color w:val="3D352B"/>
                <w:sz w:val="16"/>
              </w:rPr>
              <w:t>n.22: AI risk acceptance doesn't replace system authorization</w:t>
            </w:r>
          </w:p>
        </w:tc>
      </w:tr>
      <w:tr>
        <w:trPr>
          <w:cantSplit/>
        </w:trPr>
        <w:tc>
          <w:tcPr>
            <w:tcW w:type="dxa" w:w="675"/>
          </w:tcPr>
          <w:p>
            <w:pPr>
              <w:spacing w:after="40"/>
            </w:pPr>
            <w:r/>
            <w:r>
              <w:rPr>
                <w:b w:val="0"/>
                <w:color w:val="1C1915"/>
                <w:sz w:val="16"/>
              </w:rPr>
              <w:t>5.7</w:t>
            </w:r>
          </w:p>
        </w:tc>
        <w:tc>
          <w:tcPr>
            <w:tcW w:type="dxa" w:w="2991"/>
          </w:tcPr>
          <w:p>
            <w:pPr>
              <w:spacing w:after="40"/>
            </w:pPr>
            <w:r/>
            <w:r>
              <w:rPr>
                <w:b w:val="0"/>
                <w:color w:val="3D352B"/>
                <w:sz w:val="16"/>
              </w:rPr>
              <w:t>03.05.01(b) re-authentication for privileged functions</w:t>
            </w:r>
          </w:p>
        </w:tc>
        <w:tc>
          <w:tcPr>
            <w:tcW w:type="dxa" w:w="1930"/>
          </w:tcPr>
          <w:p>
            <w:pPr>
              <w:spacing w:after="40"/>
            </w:pPr>
            <w:r/>
            <w:r>
              <w:rPr>
                <w:b w:val="0"/>
                <w:color w:val="3D352B"/>
                <w:sz w:val="16"/>
              </w:rPr>
            </w:r>
          </w:p>
        </w:tc>
        <w:tc>
          <w:tcPr>
            <w:tcW w:type="dxa" w:w="1737"/>
          </w:tcPr>
          <w:p>
            <w:pPr>
              <w:spacing w:after="40"/>
            </w:pPr>
            <w:r/>
            <w:r>
              <w:rPr>
                <w:b w:val="0"/>
                <w:color w:val="3D352B"/>
                <w:sz w:val="16"/>
              </w:rPr>
            </w:r>
          </w:p>
        </w:tc>
        <w:tc>
          <w:tcPr>
            <w:tcW w:type="dxa" w:w="2316"/>
          </w:tcPr>
          <w:p>
            <w:pPr>
              <w:spacing w:after="40"/>
            </w:pPr>
            <w:r/>
            <w:r>
              <w:rPr>
                <w:b w:val="0"/>
                <w:color w:val="3D352B"/>
                <w:sz w:val="16"/>
              </w:rPr>
              <w:t>§4(b)(v) human oversight and fail-safe</w:t>
            </w:r>
          </w:p>
        </w:tc>
      </w:tr>
      <w:tr>
        <w:trPr>
          <w:cantSplit/>
        </w:trPr>
        <w:tc>
          <w:tcPr>
            <w:tcW w:type="dxa" w:w="675"/>
          </w:tcPr>
          <w:p>
            <w:pPr>
              <w:spacing w:after="40"/>
            </w:pPr>
            <w:r/>
            <w:r>
              <w:rPr>
                <w:b w:val="0"/>
                <w:color w:val="1C1915"/>
                <w:sz w:val="16"/>
              </w:rPr>
              <w:t>5.8</w:t>
            </w:r>
          </w:p>
        </w:tc>
        <w:tc>
          <w:tcPr>
            <w:tcW w:type="dxa" w:w="2991"/>
          </w:tcPr>
          <w:p>
            <w:pPr>
              <w:spacing w:after="40"/>
            </w:pPr>
            <w:r/>
            <w:r>
              <w:rPr>
                <w:b w:val="0"/>
                <w:color w:val="3D352B"/>
                <w:sz w:val="16"/>
              </w:rPr>
              <w:t>03.03.01 Event Logging; 03.03.02 Audit Record Content; 03.03.08 Protection of Audit Information</w:t>
            </w:r>
          </w:p>
        </w:tc>
        <w:tc>
          <w:tcPr>
            <w:tcW w:type="dxa" w:w="1930"/>
          </w:tcPr>
          <w:p>
            <w:pPr>
              <w:spacing w:after="40"/>
            </w:pPr>
            <w:r/>
            <w:r>
              <w:rPr>
                <w:b w:val="0"/>
                <w:color w:val="3D352B"/>
                <w:sz w:val="16"/>
              </w:rPr>
              <w:t>AU.L2-3.3.1;</w:t>
              <w:br/>
              <w:t>AU.L2-3.3.2;</w:t>
              <w:br/>
              <w:t>AU.L2-3.3.8</w:t>
            </w:r>
          </w:p>
        </w:tc>
        <w:tc>
          <w:tcPr>
            <w:tcW w:type="dxa" w:w="1737"/>
          </w:tcPr>
          <w:p>
            <w:pPr>
              <w:spacing w:after="40"/>
            </w:pPr>
            <w:r/>
            <w:r>
              <w:rPr>
                <w:b w:val="0"/>
                <w:color w:val="3D352B"/>
                <w:sz w:val="16"/>
              </w:rPr>
            </w:r>
          </w:p>
        </w:tc>
        <w:tc>
          <w:tcPr>
            <w:tcW w:type="dxa" w:w="2316"/>
          </w:tcPr>
          <w:p>
            <w:pPr>
              <w:spacing w:after="40"/>
            </w:pPr>
            <w:r/>
            <w:r>
              <w:rPr>
                <w:b w:val="0"/>
                <w:color w:val="3D352B"/>
                <w:sz w:val="16"/>
              </w:rPr>
              <w:t>§4(b)(iii) monitoring, traceability</w:t>
            </w:r>
          </w:p>
        </w:tc>
      </w:tr>
      <w:tr>
        <w:trPr>
          <w:cantSplit/>
        </w:trPr>
        <w:tc>
          <w:tcPr>
            <w:tcW w:type="dxa" w:w="675"/>
          </w:tcPr>
          <w:p>
            <w:pPr>
              <w:spacing w:after="40"/>
            </w:pPr>
            <w:r/>
            <w:r>
              <w:rPr>
                <w:b w:val="0"/>
                <w:color w:val="1C1915"/>
                <w:sz w:val="16"/>
              </w:rPr>
              <w:t>5.9</w:t>
            </w:r>
          </w:p>
        </w:tc>
        <w:tc>
          <w:tcPr>
            <w:tcW w:type="dxa" w:w="2991"/>
          </w:tcPr>
          <w:p>
            <w:pPr>
              <w:spacing w:after="40"/>
            </w:pPr>
            <w:r/>
            <w:r>
              <w:rPr>
                <w:b w:val="0"/>
                <w:color w:val="3D352B"/>
                <w:sz w:val="16"/>
              </w:rPr>
              <w:t>03.01.02 Access Enforcement</w:t>
            </w:r>
          </w:p>
        </w:tc>
        <w:tc>
          <w:tcPr>
            <w:tcW w:type="dxa" w:w="1930"/>
          </w:tcPr>
          <w:p>
            <w:pPr>
              <w:spacing w:after="40"/>
            </w:pPr>
            <w:r/>
            <w:r>
              <w:rPr>
                <w:b w:val="0"/>
                <w:color w:val="3D352B"/>
                <w:sz w:val="16"/>
              </w:rPr>
              <w:t>AC.L2-3.1.2</w:t>
            </w:r>
          </w:p>
        </w:tc>
        <w:tc>
          <w:tcPr>
            <w:tcW w:type="dxa" w:w="1737"/>
          </w:tcPr>
          <w:p>
            <w:pPr>
              <w:spacing w:after="40"/>
            </w:pPr>
            <w:r/>
            <w:r>
              <w:rPr>
                <w:b w:val="0"/>
                <w:color w:val="3D352B"/>
                <w:sz w:val="16"/>
              </w:rPr>
              <w:t>IA.L3-3.5.3e</w:t>
            </w:r>
          </w:p>
        </w:tc>
        <w:tc>
          <w:tcPr>
            <w:tcW w:type="dxa" w:w="2316"/>
          </w:tcPr>
          <w:p>
            <w:pPr>
              <w:spacing w:after="40"/>
            </w:pPr>
            <w:r/>
            <w:r>
              <w:rPr>
                <w:b w:val="0"/>
                <w:color w:val="3D352B"/>
                <w:sz w:val="16"/>
              </w:rPr>
              <w:t>§4(b)(v) fail-safe</w:t>
            </w:r>
          </w:p>
        </w:tc>
      </w:tr>
      <w:tr>
        <w:trPr>
          <w:cantSplit/>
        </w:trPr>
        <w:tc>
          <w:tcPr>
            <w:tcW w:type="dxa" w:w="675"/>
          </w:tcPr>
          <w:p>
            <w:pPr>
              <w:spacing w:after="40"/>
            </w:pPr>
            <w:r/>
            <w:r>
              <w:rPr>
                <w:b w:val="0"/>
                <w:color w:val="1C1915"/>
                <w:sz w:val="16"/>
              </w:rPr>
              <w:t>5.10</w:t>
            </w:r>
          </w:p>
        </w:tc>
        <w:tc>
          <w:tcPr>
            <w:tcW w:type="dxa" w:w="2991"/>
          </w:tcPr>
          <w:p>
            <w:pPr>
              <w:spacing w:after="40"/>
            </w:pPr>
            <w:r/>
            <w:r>
              <w:rPr>
                <w:b w:val="0"/>
                <w:color w:val="3D352B"/>
                <w:sz w:val="16"/>
              </w:rPr>
              <w:t>03.01.01 Account Management; 03.01.11 Session Termination</w:t>
            </w:r>
          </w:p>
        </w:tc>
        <w:tc>
          <w:tcPr>
            <w:tcW w:type="dxa" w:w="1930"/>
          </w:tcPr>
          <w:p>
            <w:pPr>
              <w:spacing w:after="40"/>
            </w:pPr>
            <w:r/>
            <w:r>
              <w:rPr>
                <w:b w:val="0"/>
                <w:color w:val="3D352B"/>
                <w:sz w:val="16"/>
              </w:rPr>
              <w:t>AC.L2-3.1.1;</w:t>
              <w:br/>
              <w:t>AC.L2-3.1.11</w:t>
            </w:r>
          </w:p>
        </w:tc>
        <w:tc>
          <w:tcPr>
            <w:tcW w:type="dxa" w:w="1737"/>
          </w:tcPr>
          <w:p>
            <w:pPr>
              <w:spacing w:after="40"/>
            </w:pPr>
            <w:r/>
            <w:r>
              <w:rPr>
                <w:b w:val="0"/>
                <w:color w:val="3D352B"/>
                <w:sz w:val="16"/>
              </w:rPr>
            </w:r>
          </w:p>
        </w:tc>
        <w:tc>
          <w:tcPr>
            <w:tcW w:type="dxa" w:w="2316"/>
          </w:tcPr>
          <w:p>
            <w:pPr>
              <w:spacing w:after="40"/>
            </w:pPr>
            <w:r/>
            <w:r>
              <w:rPr>
                <w:b w:val="0"/>
                <w:color w:val="3D352B"/>
                <w:sz w:val="16"/>
              </w:rPr>
            </w:r>
          </w:p>
        </w:tc>
      </w:tr>
    </w:tbl>
    <w:p>
      <w:pPr>
        <w:spacing w:after="0"/>
      </w:pPr>
    </w:p>
    <w:p>
      <w:pPr>
        <w:keepNext/>
        <w:spacing w:before="200"/>
      </w:pPr>
      <w:r>
        <w:rPr>
          <w:b w:val="0"/>
          <w:color w:val="5C4E3C"/>
          <w:sz w:val="15"/>
          <w:spacing w:val="30"/>
        </w:rPr>
        <w:t>AI GOVERNANCE FRAMEWORKS</w:t>
      </w:r>
    </w:p>
    <w:tbl>
      <w:tblPr>
        <w:tblW w:type="auto" w:w="0"/>
        <w:jc w:val="left"/>
        <w:tblLayout w:type="fixed"/>
        <w:tblLook w:firstColumn="1" w:firstRow="1" w:lastColumn="0" w:lastRow="0" w:noHBand="0" w:noVBand="1" w:val="04A0"/>
        <w:tblBorders>
          <w:top w:val="nil"/>
          <w:left w:val="nil"/>
          <w:right w:val="nil"/>
          <w:insideV w:val="nil"/>
          <w:bottom w:val="single" w:sz="4" w:color="D1C5B0"/>
          <w:insideH w:val="single" w:sz="4" w:color="D1C5B0"/>
        </w:tblBorders>
        <w:tblCellMar>
          <w:top w:w="70" w:type="dxa"/>
          <w:bottom w:w="70" w:type="dxa"/>
          <w:left w:w="0" w:type="dxa"/>
          <w:right w:w="110" w:type="dxa"/>
        </w:tblCellMar>
      </w:tblPr>
      <w:tblGrid>
        <w:gridCol w:w="772"/>
        <w:gridCol w:w="2894"/>
        <w:gridCol w:w="1737"/>
        <w:gridCol w:w="2316"/>
        <w:gridCol w:w="1930"/>
      </w:tblGrid>
      <w:tr>
        <w:trPr>
          <w:tblHeader/>
          <w:cantSplit/>
        </w:trPr>
        <w:tc>
          <w:tcPr>
            <w:tcW w:type="dxa" w:w="772"/>
          </w:tcPr>
          <w:p>
            <w:pPr>
              <w:spacing w:after="40"/>
            </w:pPr>
            <w:r/>
            <w:r>
              <w:rPr>
                <w:b w:val="0"/>
                <w:color w:val="5C4E3C"/>
                <w:sz w:val="13"/>
                <w:spacing w:val="30"/>
              </w:rPr>
              <w:t>REQ.</w:t>
            </w:r>
          </w:p>
        </w:tc>
        <w:tc>
          <w:tcPr>
            <w:tcW w:type="dxa" w:w="2894"/>
          </w:tcPr>
          <w:p>
            <w:pPr>
              <w:spacing w:after="40"/>
            </w:pPr>
            <w:r/>
            <w:r>
              <w:rPr>
                <w:b w:val="0"/>
                <w:color w:val="5C4E3C"/>
                <w:sz w:val="13"/>
                <w:spacing w:val="30"/>
              </w:rPr>
              <w:t>ISO/IEC 42001 ANNEX A</w:t>
            </w:r>
          </w:p>
        </w:tc>
        <w:tc>
          <w:tcPr>
            <w:tcW w:type="dxa" w:w="1737"/>
          </w:tcPr>
          <w:p>
            <w:pPr>
              <w:spacing w:after="40"/>
            </w:pPr>
            <w:r/>
            <w:r>
              <w:rPr>
                <w:b w:val="0"/>
                <w:color w:val="5C4E3C"/>
                <w:sz w:val="13"/>
                <w:spacing w:val="30"/>
              </w:rPr>
              <w:t>NIST AI RMF 1.0</w:t>
            </w:r>
          </w:p>
        </w:tc>
        <w:tc>
          <w:tcPr>
            <w:tcW w:type="dxa" w:w="2316"/>
          </w:tcPr>
          <w:p>
            <w:pPr>
              <w:spacing w:after="40"/>
            </w:pPr>
            <w:r/>
            <w:r>
              <w:rPr>
                <w:b w:val="0"/>
                <w:color w:val="5C4E3C"/>
                <w:sz w:val="13"/>
                <w:spacing w:val="30"/>
              </w:rPr>
              <w:t>COSAI AGENTIC IAM</w:t>
            </w:r>
          </w:p>
        </w:tc>
        <w:tc>
          <w:tcPr>
            <w:tcW w:type="dxa" w:w="1930"/>
          </w:tcPr>
          <w:p>
            <w:pPr>
              <w:spacing w:after="40"/>
            </w:pPr>
            <w:r/>
            <w:r>
              <w:rPr>
                <w:b w:val="0"/>
                <w:color w:val="5C4E3C"/>
                <w:sz w:val="13"/>
                <w:spacing w:val="30"/>
              </w:rPr>
              <w:t>OWASP AGENTIC GUIDANCE</w:t>
            </w:r>
          </w:p>
        </w:tc>
      </w:tr>
      <w:tr>
        <w:trPr>
          <w:cantSplit/>
        </w:trPr>
        <w:tc>
          <w:tcPr>
            <w:tcW w:type="dxa" w:w="772"/>
          </w:tcPr>
          <w:p>
            <w:pPr>
              <w:spacing w:after="40"/>
            </w:pPr>
            <w:r/>
            <w:r>
              <w:rPr>
                <w:b w:val="0"/>
                <w:color w:val="1C1915"/>
                <w:sz w:val="16"/>
              </w:rPr>
              <w:t>5.1</w:t>
            </w:r>
          </w:p>
        </w:tc>
        <w:tc>
          <w:tcPr>
            <w:tcW w:type="dxa" w:w="2894"/>
          </w:tcPr>
          <w:p>
            <w:pPr>
              <w:spacing w:after="40"/>
            </w:pPr>
            <w:r/>
            <w:r>
              <w:rPr>
                <w:b w:val="0"/>
                <w:color w:val="3D352B"/>
                <w:sz w:val="16"/>
              </w:rPr>
            </w:r>
          </w:p>
        </w:tc>
        <w:tc>
          <w:tcPr>
            <w:tcW w:type="dxa" w:w="1737"/>
          </w:tcPr>
          <w:p>
            <w:pPr>
              <w:spacing w:after="40"/>
            </w:pPr>
            <w:r/>
            <w:r>
              <w:rPr>
                <w:b w:val="0"/>
                <w:color w:val="3D352B"/>
                <w:sz w:val="16"/>
              </w:rPr>
              <w:t>MEASURE 2.7</w:t>
            </w:r>
          </w:p>
        </w:tc>
        <w:tc>
          <w:tcPr>
            <w:tcW w:type="dxa" w:w="2316"/>
          </w:tcPr>
          <w:p>
            <w:pPr>
              <w:spacing w:after="40"/>
            </w:pPr>
            <w:r/>
            <w:r>
              <w:rPr>
                <w:b w:val="0"/>
                <w:color w:val="3D352B"/>
                <w:sz w:val="16"/>
              </w:rPr>
              <w:t>§5.2 eliminate shared accounts</w:t>
            </w:r>
          </w:p>
        </w:tc>
        <w:tc>
          <w:tcPr>
            <w:tcW w:type="dxa" w:w="1930"/>
          </w:tcPr>
          <w:p>
            <w:pPr>
              <w:spacing w:after="40"/>
            </w:pPr>
            <w:r/>
            <w:r>
              <w:rPr>
                <w:b w:val="0"/>
                <w:color w:val="3D352B"/>
                <w:sz w:val="16"/>
              </w:rPr>
              <w:t>§2.2.1; KC6.6</w:t>
            </w:r>
          </w:p>
        </w:tc>
      </w:tr>
      <w:tr>
        <w:trPr>
          <w:cantSplit/>
        </w:trPr>
        <w:tc>
          <w:tcPr>
            <w:tcW w:type="dxa" w:w="772"/>
          </w:tcPr>
          <w:p>
            <w:pPr>
              <w:spacing w:after="40"/>
            </w:pPr>
            <w:r/>
            <w:r>
              <w:rPr>
                <w:b w:val="0"/>
                <w:color w:val="1C1915"/>
                <w:sz w:val="16"/>
              </w:rPr>
              <w:t>5.2</w:t>
            </w:r>
          </w:p>
        </w:tc>
        <w:tc>
          <w:tcPr>
            <w:tcW w:type="dxa" w:w="2894"/>
          </w:tcPr>
          <w:p>
            <w:pPr>
              <w:spacing w:after="40"/>
            </w:pPr>
            <w:r/>
            <w:r>
              <w:rPr>
                <w:b w:val="0"/>
                <w:color w:val="3D352B"/>
                <w:sz w:val="16"/>
              </w:rPr>
              <w:t>A.4.4 Tooling resources</w:t>
            </w:r>
          </w:p>
        </w:tc>
        <w:tc>
          <w:tcPr>
            <w:tcW w:type="dxa" w:w="1737"/>
          </w:tcPr>
          <w:p>
            <w:pPr>
              <w:spacing w:after="40"/>
            </w:pPr>
            <w:r/>
            <w:r>
              <w:rPr>
                <w:b w:val="0"/>
                <w:color w:val="3D352B"/>
                <w:sz w:val="16"/>
              </w:rPr>
              <w:t>GOVERN 1.6</w:t>
            </w:r>
          </w:p>
        </w:tc>
        <w:tc>
          <w:tcPr>
            <w:tcW w:type="dxa" w:w="2316"/>
          </w:tcPr>
          <w:p>
            <w:pPr>
              <w:spacing w:after="40"/>
            </w:pPr>
            <w:r/>
            <w:r>
              <w:rPr>
                <w:b w:val="0"/>
                <w:color w:val="3D352B"/>
                <w:sz w:val="16"/>
              </w:rPr>
              <w:t>§3.2; §5.2</w:t>
            </w:r>
          </w:p>
        </w:tc>
        <w:tc>
          <w:tcPr>
            <w:tcW w:type="dxa" w:w="1930"/>
          </w:tcPr>
          <w:p>
            <w:pPr>
              <w:spacing w:after="40"/>
            </w:pPr>
            <w:r/>
            <w:r>
              <w:rPr>
                <w:b w:val="0"/>
                <w:color w:val="3D352B"/>
                <w:sz w:val="16"/>
              </w:rPr>
              <w:t>§3.1.8</w:t>
            </w:r>
          </w:p>
        </w:tc>
      </w:tr>
      <w:tr>
        <w:trPr>
          <w:cantSplit/>
        </w:trPr>
        <w:tc>
          <w:tcPr>
            <w:tcW w:type="dxa" w:w="772"/>
          </w:tcPr>
          <w:p>
            <w:pPr>
              <w:spacing w:after="40"/>
            </w:pPr>
            <w:r/>
            <w:r>
              <w:rPr>
                <w:b w:val="0"/>
                <w:color w:val="1C1915"/>
                <w:sz w:val="16"/>
              </w:rPr>
              <w:t>5.3</w:t>
            </w:r>
          </w:p>
        </w:tc>
        <w:tc>
          <w:tcPr>
            <w:tcW w:type="dxa" w:w="2894"/>
          </w:tcPr>
          <w:p>
            <w:pPr>
              <w:spacing w:after="40"/>
            </w:pPr>
            <w:r/>
            <w:r>
              <w:rPr>
                <w:b w:val="0"/>
                <w:color w:val="3D352B"/>
                <w:sz w:val="16"/>
              </w:rPr>
              <w:t>A.3.2 AI roles and responsibilities; A.10.2 Allocating responsibilities</w:t>
            </w:r>
          </w:p>
        </w:tc>
        <w:tc>
          <w:tcPr>
            <w:tcW w:type="dxa" w:w="1737"/>
          </w:tcPr>
          <w:p>
            <w:pPr>
              <w:spacing w:after="40"/>
            </w:pPr>
            <w:r/>
            <w:r>
              <w:rPr>
                <w:b w:val="0"/>
                <w:color w:val="3D352B"/>
                <w:sz w:val="16"/>
              </w:rPr>
              <w:t>GOVERN 3.2</w:t>
            </w:r>
          </w:p>
        </w:tc>
        <w:tc>
          <w:tcPr>
            <w:tcW w:type="dxa" w:w="2316"/>
          </w:tcPr>
          <w:p>
            <w:pPr>
              <w:spacing w:after="40"/>
            </w:pPr>
            <w:r/>
            <w:r>
              <w:rPr>
                <w:b w:val="0"/>
                <w:color w:val="3D352B"/>
                <w:sz w:val="16"/>
              </w:rPr>
              <w:t>§1.2 (1)</w:t>
            </w:r>
          </w:p>
        </w:tc>
        <w:tc>
          <w:tcPr>
            <w:tcW w:type="dxa" w:w="1930"/>
          </w:tcPr>
          <w:p>
            <w:pPr>
              <w:spacing w:after="40"/>
            </w:pPr>
            <w:r/>
            <w:r>
              <w:rPr>
                <w:b w:val="0"/>
                <w:color w:val="3D352B"/>
                <w:sz w:val="16"/>
              </w:rPr>
              <w:t>§3.1.8</w:t>
            </w:r>
          </w:p>
        </w:tc>
      </w:tr>
      <w:tr>
        <w:trPr>
          <w:cantSplit/>
        </w:trPr>
        <w:tc>
          <w:tcPr>
            <w:tcW w:type="dxa" w:w="772"/>
          </w:tcPr>
          <w:p>
            <w:pPr>
              <w:spacing w:after="40"/>
            </w:pPr>
            <w:r/>
            <w:r>
              <w:rPr>
                <w:b w:val="0"/>
                <w:color w:val="1C1915"/>
                <w:sz w:val="16"/>
              </w:rPr>
              <w:t>5.4</w:t>
            </w:r>
          </w:p>
        </w:tc>
        <w:tc>
          <w:tcPr>
            <w:tcW w:type="dxa" w:w="2894"/>
          </w:tcPr>
          <w:p>
            <w:pPr>
              <w:spacing w:after="40"/>
            </w:pPr>
            <w:r/>
            <w:r>
              <w:rPr>
                <w:b w:val="0"/>
                <w:color w:val="3D352B"/>
                <w:sz w:val="16"/>
              </w:rPr>
              <w:t>A.9.2 Processes for responsible use of AI</w:t>
            </w:r>
          </w:p>
        </w:tc>
        <w:tc>
          <w:tcPr>
            <w:tcW w:type="dxa" w:w="1737"/>
          </w:tcPr>
          <w:p>
            <w:pPr>
              <w:spacing w:after="40"/>
            </w:pPr>
            <w:r/>
            <w:r>
              <w:rPr>
                <w:b w:val="0"/>
                <w:color w:val="3D352B"/>
                <w:sz w:val="16"/>
              </w:rPr>
              <w:t>MAP 4.2</w:t>
            </w:r>
          </w:p>
        </w:tc>
        <w:tc>
          <w:tcPr>
            <w:tcW w:type="dxa" w:w="2316"/>
          </w:tcPr>
          <w:p>
            <w:pPr>
              <w:spacing w:after="40"/>
            </w:pPr>
            <w:r/>
            <w:r>
              <w:rPr>
                <w:b w:val="0"/>
                <w:color w:val="3D352B"/>
                <w:sz w:val="16"/>
              </w:rPr>
              <w:t>§3.1</w:t>
            </w:r>
          </w:p>
        </w:tc>
        <w:tc>
          <w:tcPr>
            <w:tcW w:type="dxa" w:w="1930"/>
          </w:tcPr>
          <w:p>
            <w:pPr>
              <w:spacing w:after="40"/>
            </w:pPr>
            <w:r/>
            <w:r>
              <w:rPr>
                <w:b w:val="0"/>
                <w:color w:val="3D352B"/>
                <w:sz w:val="16"/>
              </w:rPr>
              <w:t>§4.1.1; §5.1</w:t>
            </w:r>
          </w:p>
        </w:tc>
      </w:tr>
      <w:tr>
        <w:trPr>
          <w:cantSplit/>
        </w:trPr>
        <w:tc>
          <w:tcPr>
            <w:tcW w:type="dxa" w:w="772"/>
          </w:tcPr>
          <w:p>
            <w:pPr>
              <w:spacing w:after="40"/>
            </w:pPr>
            <w:r/>
            <w:r>
              <w:rPr>
                <w:b w:val="0"/>
                <w:color w:val="1C1915"/>
                <w:sz w:val="16"/>
              </w:rPr>
              <w:t>5.5</w:t>
            </w:r>
          </w:p>
        </w:tc>
        <w:tc>
          <w:tcPr>
            <w:tcW w:type="dxa" w:w="2894"/>
          </w:tcPr>
          <w:p>
            <w:pPr>
              <w:spacing w:after="40"/>
            </w:pPr>
            <w:r/>
            <w:r>
              <w:rPr>
                <w:b w:val="0"/>
                <w:color w:val="3D352B"/>
                <w:sz w:val="16"/>
              </w:rPr>
            </w:r>
          </w:p>
        </w:tc>
        <w:tc>
          <w:tcPr>
            <w:tcW w:type="dxa" w:w="1737"/>
          </w:tcPr>
          <w:p>
            <w:pPr>
              <w:spacing w:after="40"/>
            </w:pPr>
            <w:r/>
            <w:r>
              <w:rPr>
                <w:b w:val="0"/>
                <w:color w:val="3D352B"/>
                <w:sz w:val="16"/>
              </w:rPr>
            </w:r>
          </w:p>
        </w:tc>
        <w:tc>
          <w:tcPr>
            <w:tcW w:type="dxa" w:w="2316"/>
          </w:tcPr>
          <w:p>
            <w:pPr>
              <w:spacing w:after="40"/>
            </w:pPr>
            <w:r/>
            <w:r>
              <w:rPr>
                <w:b w:val="0"/>
                <w:color w:val="3D352B"/>
                <w:sz w:val="16"/>
              </w:rPr>
              <w:t>§1.2 (2) zero standing privilege; §3.5</w:t>
            </w:r>
          </w:p>
        </w:tc>
        <w:tc>
          <w:tcPr>
            <w:tcW w:type="dxa" w:w="1930"/>
          </w:tcPr>
          <w:p>
            <w:pPr>
              <w:spacing w:after="40"/>
            </w:pPr>
            <w:r/>
            <w:r>
              <w:rPr>
                <w:b w:val="0"/>
                <w:color w:val="3D352B"/>
                <w:sz w:val="16"/>
              </w:rPr>
              <w:t>§3.2.8</w:t>
            </w:r>
          </w:p>
        </w:tc>
      </w:tr>
      <w:tr>
        <w:trPr>
          <w:cantSplit/>
        </w:trPr>
        <w:tc>
          <w:tcPr>
            <w:tcW w:type="dxa" w:w="772"/>
          </w:tcPr>
          <w:p>
            <w:pPr>
              <w:spacing w:after="40"/>
            </w:pPr>
            <w:r/>
            <w:r>
              <w:rPr>
                <w:b w:val="0"/>
                <w:color w:val="1C1915"/>
                <w:sz w:val="16"/>
              </w:rPr>
              <w:t>5.6</w:t>
            </w:r>
          </w:p>
        </w:tc>
        <w:tc>
          <w:tcPr>
            <w:tcW w:type="dxa" w:w="2894"/>
          </w:tcPr>
          <w:p>
            <w:pPr>
              <w:spacing w:after="40"/>
            </w:pPr>
            <w:r/>
            <w:r>
              <w:rPr>
                <w:b w:val="0"/>
                <w:color w:val="3D352B"/>
                <w:sz w:val="16"/>
              </w:rPr>
              <w:t>A.10.3 Suppliers</w:t>
            </w:r>
          </w:p>
        </w:tc>
        <w:tc>
          <w:tcPr>
            <w:tcW w:type="dxa" w:w="1737"/>
          </w:tcPr>
          <w:p>
            <w:pPr>
              <w:spacing w:after="40"/>
            </w:pPr>
            <w:r/>
            <w:r>
              <w:rPr>
                <w:b w:val="0"/>
                <w:color w:val="3D352B"/>
                <w:sz w:val="16"/>
              </w:rPr>
              <w:t>GOVERN 6.1</w:t>
            </w:r>
          </w:p>
        </w:tc>
        <w:tc>
          <w:tcPr>
            <w:tcW w:type="dxa" w:w="2316"/>
          </w:tcPr>
          <w:p>
            <w:pPr>
              <w:spacing w:after="40"/>
            </w:pPr>
            <w:r/>
            <w:r>
              <w:rPr>
                <w:b w:val="0"/>
                <w:color w:val="3D352B"/>
                <w:sz w:val="16"/>
              </w:rPr>
              <w:t>§3.1</w:t>
            </w:r>
          </w:p>
        </w:tc>
        <w:tc>
          <w:tcPr>
            <w:tcW w:type="dxa" w:w="1930"/>
          </w:tcPr>
          <w:p>
            <w:pPr>
              <w:spacing w:after="40"/>
            </w:pPr>
            <w:r/>
            <w:r>
              <w:rPr>
                <w:b w:val="0"/>
                <w:color w:val="3D352B"/>
                <w:sz w:val="16"/>
              </w:rPr>
              <w:t>§5.4</w:t>
            </w:r>
          </w:p>
        </w:tc>
      </w:tr>
      <w:tr>
        <w:trPr>
          <w:cantSplit/>
        </w:trPr>
        <w:tc>
          <w:tcPr>
            <w:tcW w:type="dxa" w:w="772"/>
          </w:tcPr>
          <w:p>
            <w:pPr>
              <w:spacing w:after="40"/>
            </w:pPr>
            <w:r/>
            <w:r>
              <w:rPr>
                <w:b w:val="0"/>
                <w:color w:val="1C1915"/>
                <w:sz w:val="16"/>
              </w:rPr>
              <w:t>5.7</w:t>
            </w:r>
          </w:p>
        </w:tc>
        <w:tc>
          <w:tcPr>
            <w:tcW w:type="dxa" w:w="2894"/>
          </w:tcPr>
          <w:p>
            <w:pPr>
              <w:spacing w:after="40"/>
            </w:pPr>
            <w:r/>
            <w:r>
              <w:rPr>
                <w:b w:val="0"/>
                <w:color w:val="3D352B"/>
                <w:sz w:val="16"/>
              </w:rPr>
              <w:t>A.9.2 Processes for responsible use of AI</w:t>
            </w:r>
          </w:p>
        </w:tc>
        <w:tc>
          <w:tcPr>
            <w:tcW w:type="dxa" w:w="1737"/>
          </w:tcPr>
          <w:p>
            <w:pPr>
              <w:spacing w:after="40"/>
            </w:pPr>
            <w:r/>
            <w:r>
              <w:rPr>
                <w:b w:val="0"/>
                <w:color w:val="3D352B"/>
                <w:sz w:val="16"/>
              </w:rPr>
              <w:t>MAP 3.5</w:t>
            </w:r>
          </w:p>
        </w:tc>
        <w:tc>
          <w:tcPr>
            <w:tcW w:type="dxa" w:w="2316"/>
          </w:tcPr>
          <w:p>
            <w:pPr>
              <w:spacing w:after="40"/>
            </w:pPr>
            <w:r/>
            <w:r>
              <w:rPr>
                <w:b w:val="0"/>
                <w:color w:val="3D352B"/>
                <w:sz w:val="16"/>
              </w:rPr>
              <w:t>§3.4</w:t>
            </w:r>
          </w:p>
        </w:tc>
        <w:tc>
          <w:tcPr>
            <w:tcW w:type="dxa" w:w="1930"/>
          </w:tcPr>
          <w:p>
            <w:pPr>
              <w:spacing w:after="40"/>
            </w:pPr>
            <w:r/>
            <w:r>
              <w:rPr>
                <w:b w:val="0"/>
                <w:color w:val="3D352B"/>
                <w:sz w:val="16"/>
              </w:rPr>
              <w:t>§3.1.5; §5.6; T10</w:t>
            </w:r>
          </w:p>
        </w:tc>
      </w:tr>
      <w:tr>
        <w:trPr>
          <w:cantSplit/>
        </w:trPr>
        <w:tc>
          <w:tcPr>
            <w:tcW w:type="dxa" w:w="772"/>
          </w:tcPr>
          <w:p>
            <w:pPr>
              <w:spacing w:after="40"/>
            </w:pPr>
            <w:r/>
            <w:r>
              <w:rPr>
                <w:b w:val="0"/>
                <w:color w:val="1C1915"/>
                <w:sz w:val="16"/>
              </w:rPr>
              <w:t>5.8</w:t>
            </w:r>
          </w:p>
        </w:tc>
        <w:tc>
          <w:tcPr>
            <w:tcW w:type="dxa" w:w="2894"/>
          </w:tcPr>
          <w:p>
            <w:pPr>
              <w:spacing w:after="40"/>
            </w:pPr>
            <w:r/>
            <w:r>
              <w:rPr>
                <w:b w:val="0"/>
                <w:color w:val="3D352B"/>
                <w:sz w:val="16"/>
              </w:rPr>
              <w:t>A.6.2.8 AI system recording of event logs</w:t>
            </w:r>
          </w:p>
        </w:tc>
        <w:tc>
          <w:tcPr>
            <w:tcW w:type="dxa" w:w="1737"/>
          </w:tcPr>
          <w:p>
            <w:pPr>
              <w:spacing w:after="40"/>
            </w:pPr>
            <w:r/>
            <w:r>
              <w:rPr>
                <w:b w:val="0"/>
                <w:color w:val="3D352B"/>
                <w:sz w:val="16"/>
              </w:rPr>
              <w:t>MEASURE 2.8</w:t>
            </w:r>
          </w:p>
        </w:tc>
        <w:tc>
          <w:tcPr>
            <w:tcW w:type="dxa" w:w="2316"/>
          </w:tcPr>
          <w:p>
            <w:pPr>
              <w:spacing w:after="40"/>
            </w:pPr>
            <w:r/>
            <w:r>
              <w:rPr>
                <w:b w:val="0"/>
                <w:color w:val="3D352B"/>
                <w:sz w:val="16"/>
              </w:rPr>
              <w:t>§1.2 (3), (6); log fields appendix</w:t>
            </w:r>
          </w:p>
        </w:tc>
        <w:tc>
          <w:tcPr>
            <w:tcW w:type="dxa" w:w="1930"/>
          </w:tcPr>
          <w:p>
            <w:pPr>
              <w:spacing w:after="40"/>
            </w:pPr>
            <w:r/>
            <w:r>
              <w:rPr>
                <w:b w:val="0"/>
                <w:color w:val="3D352B"/>
                <w:sz w:val="16"/>
              </w:rPr>
              <w:t>§7.2; T8; T9</w:t>
            </w:r>
          </w:p>
        </w:tc>
      </w:tr>
      <w:tr>
        <w:trPr>
          <w:cantSplit/>
        </w:trPr>
        <w:tc>
          <w:tcPr>
            <w:tcW w:type="dxa" w:w="772"/>
          </w:tcPr>
          <w:p>
            <w:pPr>
              <w:spacing w:after="40"/>
            </w:pPr>
            <w:r/>
            <w:r>
              <w:rPr>
                <w:b w:val="0"/>
                <w:color w:val="1C1915"/>
                <w:sz w:val="16"/>
              </w:rPr>
              <w:t>5.9</w:t>
            </w:r>
          </w:p>
        </w:tc>
        <w:tc>
          <w:tcPr>
            <w:tcW w:type="dxa" w:w="2894"/>
          </w:tcPr>
          <w:p>
            <w:pPr>
              <w:spacing w:after="40"/>
            </w:pPr>
            <w:r/>
            <w:r>
              <w:rPr>
                <w:b w:val="0"/>
                <w:color w:val="3D352B"/>
                <w:sz w:val="16"/>
              </w:rPr>
              <w:t>A.6.2.6 AI system operation and monitoring</w:t>
            </w:r>
          </w:p>
        </w:tc>
        <w:tc>
          <w:tcPr>
            <w:tcW w:type="dxa" w:w="1737"/>
          </w:tcPr>
          <w:p>
            <w:pPr>
              <w:spacing w:after="40"/>
            </w:pPr>
            <w:r/>
            <w:r>
              <w:rPr>
                <w:b w:val="0"/>
                <w:color w:val="3D352B"/>
                <w:sz w:val="16"/>
              </w:rPr>
              <w:t>MANAGE 2.4</w:t>
            </w:r>
          </w:p>
        </w:tc>
        <w:tc>
          <w:tcPr>
            <w:tcW w:type="dxa" w:w="2316"/>
          </w:tcPr>
          <w:p>
            <w:pPr>
              <w:spacing w:after="40"/>
            </w:pPr>
            <w:r/>
            <w:r>
              <w:rPr>
                <w:b w:val="0"/>
                <w:color w:val="3D352B"/>
                <w:sz w:val="16"/>
              </w:rPr>
              <w:t>§5.1</w:t>
            </w:r>
          </w:p>
        </w:tc>
        <w:tc>
          <w:tcPr>
            <w:tcW w:type="dxa" w:w="1930"/>
          </w:tcPr>
          <w:p>
            <w:pPr>
              <w:spacing w:after="40"/>
            </w:pPr>
            <w:r/>
            <w:r>
              <w:rPr>
                <w:b w:val="0"/>
                <w:color w:val="3D352B"/>
                <w:sz w:val="16"/>
              </w:rPr>
            </w:r>
          </w:p>
        </w:tc>
      </w:tr>
      <w:tr>
        <w:trPr>
          <w:cantSplit/>
        </w:trPr>
        <w:tc>
          <w:tcPr>
            <w:tcW w:type="dxa" w:w="772"/>
          </w:tcPr>
          <w:p>
            <w:pPr>
              <w:spacing w:after="40"/>
            </w:pPr>
            <w:r/>
            <w:r>
              <w:rPr>
                <w:b w:val="0"/>
                <w:color w:val="1C1915"/>
                <w:sz w:val="16"/>
              </w:rPr>
              <w:t>5.10</w:t>
            </w:r>
          </w:p>
        </w:tc>
        <w:tc>
          <w:tcPr>
            <w:tcW w:type="dxa" w:w="2894"/>
          </w:tcPr>
          <w:p>
            <w:pPr>
              <w:spacing w:after="40"/>
            </w:pPr>
            <w:r/>
            <w:r>
              <w:rPr>
                <w:b w:val="0"/>
                <w:color w:val="3D352B"/>
                <w:sz w:val="16"/>
              </w:rPr>
              <w:t>A.6.2.6 AI system operation and monitoring</w:t>
            </w:r>
          </w:p>
        </w:tc>
        <w:tc>
          <w:tcPr>
            <w:tcW w:type="dxa" w:w="1737"/>
          </w:tcPr>
          <w:p>
            <w:pPr>
              <w:spacing w:after="40"/>
            </w:pPr>
            <w:r/>
            <w:r>
              <w:rPr>
                <w:b w:val="0"/>
                <w:color w:val="3D352B"/>
                <w:sz w:val="16"/>
              </w:rPr>
              <w:t>MANAGE 2.4; GOVERN 1.7</w:t>
            </w:r>
          </w:p>
        </w:tc>
        <w:tc>
          <w:tcPr>
            <w:tcW w:type="dxa" w:w="2316"/>
          </w:tcPr>
          <w:p>
            <w:pPr>
              <w:spacing w:after="40"/>
            </w:pPr>
            <w:r/>
            <w:r>
              <w:rPr>
                <w:b w:val="0"/>
                <w:color w:val="3D352B"/>
                <w:sz w:val="16"/>
              </w:rPr>
              <w:t>§3.4; §3.5</w:t>
            </w:r>
          </w:p>
        </w:tc>
        <w:tc>
          <w:tcPr>
            <w:tcW w:type="dxa" w:w="1930"/>
          </w:tcPr>
          <w:p>
            <w:pPr>
              <w:spacing w:after="40"/>
            </w:pPr>
            <w:r/>
            <w:r>
              <w:rPr>
                <w:b w:val="0"/>
                <w:color w:val="3D352B"/>
                <w:sz w:val="16"/>
              </w:rPr>
              <w:t>§4.1.4</w:t>
            </w:r>
          </w:p>
        </w:tc>
      </w:tr>
    </w:tbl>
    <w:p>
      <w:pPr>
        <w:spacing w:after="0"/>
      </w:pPr>
    </w:p>
    <w:p>
      <w:r>
        <w:t>Notes. CMMC Level 2 tests the NIST SP 800-171 Rev 2 requirements, so Level 2 IDs follow Rev 2 numbering. Level 3 adds selected NIST SP 800-172 requirements on top of a Final Level 2 (C3PAO) status, so a Level 3 cell adds to the Level 2 cell beside it. OMB M-25-21 applies to federal agencies and excludes National Security Systems. ISO/IEC 42001 is cited by control title only. A blank cell means the source has no close match.</w:t>
      </w:r>
    </w:p>
    <w:p>
      <w:pPr>
        <w:pStyle w:val="Heading1"/>
        <w:pBdr>
          <w:top w:val="single" w:sz="4" w:space="4" w:color="D1C5B0"/>
        </w:pBdr>
      </w:pPr>
      <w:r>
        <w:rPr>
          <w:b w:val="0"/>
          <w:color w:val="573B1D"/>
          <w:sz w:val="16"/>
          <w:spacing w:val="30"/>
        </w:rPr>
        <w:t xml:space="preserve">14  </w:t>
      </w:r>
      <w:r>
        <w:t>Sources</w:t>
      </w:r>
    </w:p>
    <w:p>
      <w:pPr>
        <w:pStyle w:val="ListBullet"/>
      </w:pPr>
      <w:r>
        <w:t>NIST SP 800-171 Rev. 3, Protecting Controlled Unclassified Information in Nonfederal Systems and Organizations, May 2024.</w:t>
      </w:r>
    </w:p>
    <w:p>
      <w:pPr>
        <w:pStyle w:val="ListBullet"/>
      </w:pPr>
      <w:r>
        <w:t>CMMC Assessment Guide, Level 2, Version 2.13, September 2024.</w:t>
      </w:r>
    </w:p>
    <w:p>
      <w:pPr>
        <w:pStyle w:val="ListBullet"/>
      </w:pPr>
      <w:r>
        <w:t>CMMC Assessment Guide, Level 3, Version 2.13, September 2024.</w:t>
      </w:r>
    </w:p>
    <w:p>
      <w:pPr>
        <w:pStyle w:val="ListBullet"/>
      </w:pPr>
      <w:r>
        <w:t>OMB M-25-21, Accelerating Federal Use of AI through Innovation, Governance, and Public Trust, April 3, 2025.</w:t>
      </w:r>
    </w:p>
    <w:p>
      <w:pPr>
        <w:pStyle w:val="ListBullet"/>
      </w:pPr>
      <w:r>
        <w:t>ISO/IEC 42001:2023, Artificial intelligence: Management system.</w:t>
      </w:r>
    </w:p>
    <w:p>
      <w:pPr>
        <w:pStyle w:val="ListBullet"/>
      </w:pPr>
      <w:r>
        <w:t>NIST AI 100-1, Artificial Intelligence Risk Management Framework (AI RMF 1.0), January 2023.</w:t>
      </w:r>
    </w:p>
    <w:p>
      <w:pPr>
        <w:pStyle w:val="ListBullet"/>
      </w:pPr>
      <w:r>
        <w:t>Coalition for Secure AI (OASIS), Agentic Identity and Access Management, Version 1.0, March 20, 2026.</w:t>
      </w:r>
    </w:p>
    <w:p>
      <w:pPr>
        <w:pStyle w:val="ListBullet"/>
      </w:pPr>
      <w:r>
        <w:t>OWASP GenAI Security Project, Securing Agentic Applications Guide 1.0, July 28, 2025.</w:t>
      </w:r>
    </w:p>
    <w:p>
      <w:pPr>
        <w:pStyle w:val="ListBullet"/>
      </w:pPr>
      <w:r>
        <w:t>OWASP GenAI Security Project, State of Agentic AI Security and Governance 1.0, July 2025.</w:t>
      </w:r>
    </w:p>
    <w:p>
      <w:pPr>
        <w:pStyle w:val="ListBullet"/>
      </w:pPr>
      <w:r>
        <w:t>1Password, "1Password for Agents," press release, October 22, 2026.</w:t>
      </w:r>
    </w:p>
    <w:p>
      <w:pPr>
        <w:spacing w:before="360"/>
        <w:pBdr>
          <w:top w:val="single" w:sz="6" w:space="4" w:color="D4B47D"/>
        </w:pBdr>
      </w:pPr>
      <w:r>
        <w:rPr>
          <w:b w:val="0"/>
          <w:color w:val="5C4E3C"/>
          <w:sz w:val="17"/>
        </w:rPr>
        <w:t>Template by Jerome Davis, ISO/IEC 42001 Lead Auditor. Free to copy and adapt. The editable version and the Agent Access Register are free at secondorderstrategy.com. It is a starting point and is not legal or compliance advice.</w:t>
      </w:r>
    </w:p>
    <w:sectPr w:rsidR="00FC693F" w:rsidRPr="0006063C" w:rsidSect="00034616">
      <w:footerReference w:type="default" r:id="rId9"/>
      <w:pgSz w:w="12240" w:h="15840"/>
      <w:pgMar w:top="1296"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5C4E3C"/>
        <w:sz w:val="14"/>
        <w:spacing w:val="30"/>
      </w:rPr>
      <w:t>AGENT ACCESS STANDARD · V1.0 TEMPLATE · SECONDORDERSTRATEGY.COM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DM Sans" w:hAnsi="DM Sans" w:eastAsia="DM Sans"/>
      <w:color w:val="3D35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80"/>
      <w:outlineLvl w:val="0"/>
    </w:pPr>
    <w:rPr>
      <w:rFonts w:cstheme="majorBidi" w:ascii="Libre Caslon Display" w:hAnsi="Libre Caslon Display"/>
      <w:b w:val="0"/>
      <w:bCs/>
      <w:color w:val="1C1915"/>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Libre Caslon Display" w:hAnsi="Libre Caslon Display"/>
      <w:b w:val="0"/>
      <w:color w:val="1C1915"/>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Access Standard</dc:title>
  <dc:creator>Jerome Davis</dc:creator>
  <cp:lastModifiedBy>Jerome Davis</cp:lastModifiedBy>
  <cp:revision>1</cp:revision>
  <dcterms:created xsi:type="dcterms:W3CDTF">2026-10-28T12:00:00Z</dcterms:created>
  <dcterms:modified xsi:type="dcterms:W3CDTF">2026-10-29T00:00:00Z</dcterms:modified>
</cp:coreProperties>
</file>